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le"/>
        <w:rPr>
          <w:rFonts w:ascii="Stag Sans Semibold" w:hAnsi="Stag Sans Semibold"/>
          <w:sz w:val="72"/>
          <w:szCs w:val="72"/>
        </w:rPr>
      </w:pPr>
      <w:r w:rsidRPr="00E158E1">
        <w:rPr>
          <w:rFonts w:ascii="Stag Sans Semibold" w:hAnsi="Stag Sans Semibold"/>
          <w:noProof/>
          <w:sz w:val="72"/>
          <w:szCs w:val="72"/>
        </w:rPr>
        <w:drawing>
          <wp:inline distT="0" distB="0" distL="0" distR="0" wp14:anchorId="4D5D4BBE" wp14:editId="39BE4469">
            <wp:extent cx="4052255" cy="1737360"/>
            <wp:effectExtent l="0" t="0" r="5715" b="0"/>
            <wp:docPr id="3" name="Image 3" descr="Logo du projet Droits d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u projet Droits devant!"/>
                    <pic:cNvPicPr/>
                  </pic:nvPicPr>
                  <pic:blipFill rotWithShape="1">
                    <a:blip r:embed="rId8" cstate="print">
                      <a:extLst>
                        <a:ext uri="{28A0092B-C50C-407E-A947-70E740481C1C}">
                          <a14:useLocalDpi xmlns:a14="http://schemas.microsoft.com/office/drawing/2010/main" val="0"/>
                        </a:ext>
                      </a:extLst>
                    </a:blip>
                    <a:srcRect l="5566"/>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E158E1" w:rsidRDefault="008122FA" w:rsidP="00A62B71">
      <w:pPr>
        <w:pStyle w:val="Title"/>
        <w:rPr>
          <w:rFonts w:ascii="Stag Sans Semibold" w:hAnsi="Stag Sans Semibold"/>
          <w:sz w:val="40"/>
          <w:szCs w:val="40"/>
        </w:rPr>
      </w:pPr>
    </w:p>
    <w:p w14:paraId="4F11A3F0" w14:textId="747C6AFC" w:rsidR="00EC3534" w:rsidRPr="00074AFA" w:rsidRDefault="00074AFA" w:rsidP="005F1284">
      <w:pPr>
        <w:pStyle w:val="Heading1"/>
      </w:pPr>
      <w:bookmarkStart w:id="0" w:name="_Toc79748251"/>
      <w:r>
        <w:t>S</w:t>
      </w:r>
      <w:r w:rsidR="00D51D6E">
        <w:t>ervices gouvernementaux et aux consommateurs</w:t>
      </w:r>
      <w:bookmarkEnd w:id="0"/>
    </w:p>
    <w:p w14:paraId="5929F42E" w14:textId="50876514" w:rsidR="005364EB" w:rsidRDefault="00D51D6E">
      <w:pPr>
        <w:rPr>
          <w:rStyle w:val="Strong"/>
          <w:rFonts w:ascii="Arial" w:hAnsi="Arial" w:cs="Arial"/>
          <w:sz w:val="40"/>
          <w:szCs w:val="20"/>
        </w:rPr>
      </w:pPr>
      <w:bookmarkStart w:id="1" w:name="_Hlk73621977"/>
      <w:bookmarkEnd w:id="1"/>
      <w:r w:rsidRPr="00E158E1">
        <w:rPr>
          <w:rStyle w:val="Strong"/>
          <w:rFonts w:ascii="Arial Black" w:hAnsi="Arial Black"/>
          <w:noProof/>
        </w:rPr>
        <w:drawing>
          <wp:anchor distT="0" distB="0" distL="114300" distR="114300" simplePos="0" relativeHeight="251655168" behindDoc="1" locked="0" layoutInCell="1" allowOverlap="1" wp14:anchorId="308786DF" wp14:editId="60D44D77">
            <wp:simplePos x="0" y="0"/>
            <wp:positionH relativeFrom="column">
              <wp:posOffset>-914400</wp:posOffset>
            </wp:positionH>
            <wp:positionV relativeFrom="paragraph">
              <wp:posOffset>230505</wp:posOffset>
            </wp:positionV>
            <wp:extent cx="8286744" cy="6200775"/>
            <wp:effectExtent l="0" t="0" r="635"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8297468" cy="6208799"/>
                    </a:xfrm>
                    <a:prstGeom prst="rect">
                      <a:avLst/>
                    </a:prstGeom>
                  </pic:spPr>
                </pic:pic>
              </a:graphicData>
            </a:graphic>
            <wp14:sizeRelH relativeFrom="page">
              <wp14:pctWidth>0</wp14:pctWidth>
            </wp14:sizeRelH>
            <wp14:sizeRelV relativeFrom="page">
              <wp14:pctHeight>0</wp14:pctHeight>
            </wp14:sizeRelV>
          </wp:anchor>
        </w:drawing>
      </w:r>
      <w:r w:rsidR="00A62B71" w:rsidRPr="00E158E1">
        <w:rPr>
          <w:rStyle w:val="Strong"/>
          <w:rFonts w:ascii="Arial" w:hAnsi="Arial" w:cs="Arial"/>
          <w:sz w:val="40"/>
          <w:szCs w:val="20"/>
        </w:rPr>
        <w:t>Droits devant</w:t>
      </w:r>
      <w:r w:rsidR="00871814" w:rsidRPr="00E158E1">
        <w:rPr>
          <w:rStyle w:val="Strong"/>
          <w:rFonts w:ascii="Arial" w:hAnsi="Arial" w:cs="Arial"/>
          <w:sz w:val="40"/>
          <w:szCs w:val="20"/>
        </w:rPr>
        <w:t>!</w:t>
      </w:r>
      <w:r w:rsidR="00A62B71" w:rsidRPr="00E158E1">
        <w:rPr>
          <w:rStyle w:val="Strong"/>
          <w:rFonts w:ascii="Arial" w:hAnsi="Arial" w:cs="Arial"/>
          <w:sz w:val="40"/>
          <w:szCs w:val="20"/>
        </w:rPr>
        <w:t xml:space="preserve"> </w:t>
      </w:r>
      <w:r w:rsidR="00E54C27" w:rsidRPr="00E158E1">
        <w:rPr>
          <w:rStyle w:val="Strong"/>
          <w:rFonts w:ascii="Arial" w:hAnsi="Arial" w:cs="Arial"/>
          <w:sz w:val="40"/>
          <w:szCs w:val="20"/>
        </w:rPr>
        <w:t>— </w:t>
      </w:r>
      <w:r w:rsidR="00A62B71" w:rsidRPr="00E158E1">
        <w:rPr>
          <w:rStyle w:val="Strong"/>
          <w:rFonts w:ascii="Arial" w:hAnsi="Arial" w:cs="Arial"/>
          <w:sz w:val="40"/>
          <w:szCs w:val="20"/>
        </w:rPr>
        <w:t>Guide d’information juridique</w:t>
      </w:r>
    </w:p>
    <w:p w14:paraId="753DA35A" w14:textId="77777777" w:rsidR="00D51D6E" w:rsidRPr="00D51D6E" w:rsidRDefault="00D51D6E">
      <w:pPr>
        <w:rPr>
          <w:rFonts w:cs="Arial"/>
          <w:b/>
          <w:bCs/>
          <w:sz w:val="40"/>
          <w:szCs w:val="20"/>
        </w:rPr>
      </w:pPr>
    </w:p>
    <w:p w14:paraId="5D7ABAFA" w14:textId="77777777" w:rsidR="00907759" w:rsidRPr="00E158E1" w:rsidRDefault="00907759">
      <w:pPr>
        <w:rPr>
          <w:rFonts w:ascii="Stag Sans Medium" w:hAnsi="Stag Sans Medium"/>
          <w:sz w:val="32"/>
          <w:szCs w:val="32"/>
        </w:rPr>
      </w:pPr>
    </w:p>
    <w:p w14:paraId="3D0F0724" w14:textId="77777777" w:rsidR="00907759" w:rsidRPr="00E158E1" w:rsidRDefault="00907759">
      <w:pPr>
        <w:rPr>
          <w:rFonts w:ascii="Stag Sans Medium" w:hAnsi="Stag Sans Medium"/>
          <w:sz w:val="32"/>
          <w:szCs w:val="32"/>
        </w:rPr>
      </w:pPr>
    </w:p>
    <w:p w14:paraId="68A5A669" w14:textId="77777777" w:rsidR="00907759" w:rsidRPr="00E158E1" w:rsidRDefault="00907759">
      <w:pPr>
        <w:rPr>
          <w:rFonts w:ascii="Stag Sans Medium" w:hAnsi="Stag Sans Medium"/>
          <w:sz w:val="32"/>
          <w:szCs w:val="32"/>
        </w:rPr>
      </w:pPr>
    </w:p>
    <w:p w14:paraId="060D4128" w14:textId="77777777" w:rsidR="00907759" w:rsidRPr="00E158E1" w:rsidRDefault="00907759">
      <w:pPr>
        <w:rPr>
          <w:rFonts w:ascii="Stag Sans Medium" w:hAnsi="Stag Sans Medium"/>
          <w:sz w:val="32"/>
          <w:szCs w:val="32"/>
        </w:rPr>
      </w:pPr>
    </w:p>
    <w:p w14:paraId="40E7E30B" w14:textId="77777777" w:rsidR="00907759" w:rsidRPr="00E158E1" w:rsidRDefault="00907759">
      <w:pPr>
        <w:rPr>
          <w:rFonts w:ascii="Stag Sans Medium" w:hAnsi="Stag Sans Medium"/>
          <w:sz w:val="32"/>
          <w:szCs w:val="32"/>
        </w:rPr>
      </w:pPr>
    </w:p>
    <w:p w14:paraId="4C06BD61" w14:textId="2DBD540D" w:rsidR="00907759" w:rsidRDefault="00907759" w:rsidP="00250CEE">
      <w:pPr>
        <w:rPr>
          <w:rFonts w:ascii="Stag Sans Medium" w:hAnsi="Stag Sans Medium"/>
          <w:sz w:val="32"/>
          <w:szCs w:val="32"/>
        </w:rPr>
      </w:pPr>
    </w:p>
    <w:p w14:paraId="3B7EB7C7" w14:textId="1ECFE15B" w:rsidR="005F1284" w:rsidRDefault="005F1284">
      <w:pPr>
        <w:rPr>
          <w:rFonts w:cs="Arial"/>
          <w:b/>
          <w:bCs/>
          <w:sz w:val="32"/>
          <w:szCs w:val="32"/>
        </w:rPr>
      </w:pPr>
    </w:p>
    <w:p w14:paraId="1BCA13FE" w14:textId="02D48A09" w:rsidR="005F1284" w:rsidRDefault="005F1284">
      <w:pPr>
        <w:rPr>
          <w:rFonts w:cs="Arial"/>
          <w:b/>
          <w:bCs/>
          <w:sz w:val="32"/>
          <w:szCs w:val="32"/>
        </w:rPr>
      </w:pPr>
      <w:r w:rsidRPr="00E158E1">
        <w:rPr>
          <w:noProof/>
          <w:szCs w:val="28"/>
        </w:rPr>
        <w:drawing>
          <wp:anchor distT="0" distB="0" distL="114300" distR="114300" simplePos="0" relativeHeight="251660288" behindDoc="0" locked="0" layoutInCell="1" allowOverlap="1" wp14:anchorId="67C8F388" wp14:editId="023470F4">
            <wp:simplePos x="0" y="0"/>
            <wp:positionH relativeFrom="column">
              <wp:posOffset>3590925</wp:posOffset>
            </wp:positionH>
            <wp:positionV relativeFrom="paragraph">
              <wp:posOffset>279400</wp:posOffset>
            </wp:positionV>
            <wp:extent cx="235521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2355215" cy="1371600"/>
                    </a:xfrm>
                    <a:prstGeom prst="rect">
                      <a:avLst/>
                    </a:prstGeom>
                  </pic:spPr>
                </pic:pic>
              </a:graphicData>
            </a:graphic>
            <wp14:sizeRelH relativeFrom="page">
              <wp14:pctWidth>0</wp14:pctWidth>
            </wp14:sizeRelH>
            <wp14:sizeRelV relativeFrom="page">
              <wp14:pctHeight>0</wp14:pctHeight>
            </wp14:sizeRelV>
          </wp:anchor>
        </w:drawing>
      </w:r>
    </w:p>
    <w:p w14:paraId="27946832" w14:textId="739D0409" w:rsidR="005F1284" w:rsidRDefault="005F1284">
      <w:pPr>
        <w:rPr>
          <w:rFonts w:cs="Arial"/>
          <w:b/>
          <w:bCs/>
          <w:sz w:val="32"/>
          <w:szCs w:val="32"/>
        </w:rPr>
      </w:pPr>
    </w:p>
    <w:p w14:paraId="557E9512" w14:textId="5CC4BEB2" w:rsidR="00250CEE" w:rsidRPr="00D51D6E" w:rsidRDefault="00A62B71">
      <w:pPr>
        <w:rPr>
          <w:rFonts w:ascii="Stag Sans Medium" w:hAnsi="Stag Sans Medium"/>
          <w:sz w:val="32"/>
          <w:szCs w:val="32"/>
        </w:rPr>
      </w:pPr>
      <w:r w:rsidRPr="00E158E1">
        <w:rPr>
          <w:rFonts w:cs="Arial"/>
          <w:b/>
          <w:bCs/>
          <w:sz w:val="32"/>
          <w:szCs w:val="32"/>
        </w:rPr>
        <w:t>Dernière mise à jour</w:t>
      </w:r>
      <w:r w:rsidR="004F59B2" w:rsidRPr="00E158E1">
        <w:rPr>
          <w:rFonts w:cs="Arial"/>
          <w:b/>
          <w:bCs/>
          <w:sz w:val="32"/>
          <w:szCs w:val="32"/>
        </w:rPr>
        <w:t> </w:t>
      </w:r>
      <w:r w:rsidRPr="00E158E1">
        <w:rPr>
          <w:rFonts w:cs="Arial"/>
          <w:b/>
          <w:bCs/>
          <w:sz w:val="32"/>
          <w:szCs w:val="32"/>
        </w:rPr>
        <w:t xml:space="preserve">: </w:t>
      </w:r>
      <w:r w:rsidR="006F019F">
        <w:rPr>
          <w:rFonts w:cs="Arial"/>
          <w:b/>
          <w:bCs/>
          <w:sz w:val="32"/>
          <w:szCs w:val="32"/>
        </w:rPr>
        <w:t>10 août</w:t>
      </w:r>
      <w:r w:rsidRPr="00E158E1">
        <w:rPr>
          <w:rFonts w:cs="Arial"/>
          <w:b/>
          <w:bCs/>
          <w:sz w:val="32"/>
          <w:szCs w:val="32"/>
        </w:rPr>
        <w:t xml:space="preserve"> 2021</w:t>
      </w:r>
    </w:p>
    <w:p w14:paraId="550CCE54" w14:textId="56579D4C" w:rsidR="00A62B71" w:rsidRPr="00E158E1" w:rsidRDefault="0048103B" w:rsidP="0048103B">
      <w:pPr>
        <w:rPr>
          <w:rFonts w:cs="Arial"/>
          <w:b/>
          <w:bCs/>
          <w:sz w:val="32"/>
          <w:szCs w:val="32"/>
        </w:rPr>
      </w:pPr>
      <w:r>
        <w:rPr>
          <w:rFonts w:cs="Arial"/>
          <w:b/>
          <w:bCs/>
          <w:sz w:val="32"/>
          <w:szCs w:val="32"/>
        </w:rPr>
        <w:br w:type="page"/>
      </w:r>
    </w:p>
    <w:p w14:paraId="48771DF9" w14:textId="73117570" w:rsidR="005364EB" w:rsidRPr="00E158E1" w:rsidRDefault="005364EB" w:rsidP="005F1284">
      <w:pPr>
        <w:pStyle w:val="Heading2"/>
      </w:pPr>
      <w:bookmarkStart w:id="2" w:name="_Toc79748252"/>
      <w:r w:rsidRPr="00E158E1">
        <w:lastRenderedPageBreak/>
        <w:t>Avertissement</w:t>
      </w:r>
      <w:bookmarkEnd w:id="2"/>
    </w:p>
    <w:p w14:paraId="302B94BE" w14:textId="4806F0CB" w:rsidR="005364EB" w:rsidRPr="00E158E1" w:rsidRDefault="005364EB" w:rsidP="00BB7E2B">
      <w:pPr>
        <w:spacing w:after="240" w:line="276" w:lineRule="auto"/>
        <w:rPr>
          <w:szCs w:val="28"/>
        </w:rPr>
      </w:pPr>
      <w:r w:rsidRPr="00E158E1">
        <w:rPr>
          <w:szCs w:val="28"/>
        </w:rPr>
        <w:t xml:space="preserve">Les informations contenues dans ce guide fournissent des informations générales et ne représentent pas un avis juridique. Si vous avez besoin d’informations concernant un problème juridique spécifique, </w:t>
      </w:r>
      <w:r w:rsidRPr="007F3BE6">
        <w:rPr>
          <w:b/>
          <w:bCs/>
          <w:szCs w:val="28"/>
        </w:rPr>
        <w:t>veuillez communiquer avec un</w:t>
      </w:r>
      <w:r w:rsidR="006F019F">
        <w:rPr>
          <w:b/>
          <w:bCs/>
          <w:szCs w:val="28"/>
        </w:rPr>
        <w:t xml:space="preserve"> notaire, un</w:t>
      </w:r>
      <w:r w:rsidRPr="007F3BE6">
        <w:rPr>
          <w:b/>
          <w:bCs/>
          <w:szCs w:val="28"/>
        </w:rPr>
        <w:t xml:space="preserve"> avocat ou une clinique d’aide juridique</w:t>
      </w:r>
      <w:r w:rsidRPr="00E158E1">
        <w:rPr>
          <w:szCs w:val="28"/>
        </w:rPr>
        <w:t>.</w:t>
      </w:r>
    </w:p>
    <w:p w14:paraId="50018BD8" w14:textId="77777777" w:rsidR="005364EB" w:rsidRPr="00E158E1" w:rsidRDefault="005364EB" w:rsidP="00BB7E2B">
      <w:pPr>
        <w:spacing w:after="240" w:line="276" w:lineRule="auto"/>
        <w:rPr>
          <w:szCs w:val="28"/>
        </w:rPr>
      </w:pPr>
    </w:p>
    <w:p w14:paraId="014EA235" w14:textId="2DFA6374" w:rsidR="005364EB" w:rsidRPr="00E158E1" w:rsidRDefault="005364EB" w:rsidP="005F1284">
      <w:pPr>
        <w:pStyle w:val="Heading2"/>
      </w:pPr>
      <w:bookmarkStart w:id="3" w:name="_Toc79748253"/>
      <w:r w:rsidRPr="00E158E1">
        <w:t>Remerciement</w:t>
      </w:r>
      <w:bookmarkEnd w:id="3"/>
    </w:p>
    <w:p w14:paraId="7C1718E7" w14:textId="117469FB" w:rsidR="005364EB" w:rsidRPr="00E158E1" w:rsidRDefault="00EE4E2D" w:rsidP="00BB7E2B">
      <w:pPr>
        <w:spacing w:after="240" w:line="276" w:lineRule="auto"/>
        <w:rPr>
          <w:szCs w:val="28"/>
        </w:rPr>
      </w:pPr>
      <w:hyperlink r:id="rId11" w:history="1">
        <w:r w:rsidR="005364EB" w:rsidRPr="007F3BE6">
          <w:rPr>
            <w:rStyle w:val="Hyperlink"/>
            <w:b/>
            <w:bCs/>
            <w:szCs w:val="28"/>
          </w:rPr>
          <w:t>INCA</w:t>
        </w:r>
      </w:hyperlink>
      <w:r w:rsidR="005364EB" w:rsidRPr="00E158E1">
        <w:rPr>
          <w:b/>
          <w:bCs/>
          <w:szCs w:val="28"/>
        </w:rPr>
        <w:t xml:space="preserve"> </w:t>
      </w:r>
      <w:r w:rsidR="005364EB" w:rsidRPr="00E158E1">
        <w:rPr>
          <w:szCs w:val="28"/>
        </w:rPr>
        <w:t xml:space="preserve">tient à remercier les bénévoles ainsi que les nombreux collaborateurs qui ont participé à la rédaction de ce guide d’information juridique. Si vous désirez obtenir davantage d’informations sur le projet </w:t>
      </w:r>
      <w:r w:rsidR="005364EB" w:rsidRPr="00E158E1">
        <w:rPr>
          <w:b/>
          <w:bCs/>
          <w:szCs w:val="28"/>
        </w:rPr>
        <w:t xml:space="preserve">Droits </w:t>
      </w:r>
      <w:proofErr w:type="gramStart"/>
      <w:r w:rsidR="005364EB" w:rsidRPr="00E158E1">
        <w:rPr>
          <w:b/>
          <w:bCs/>
          <w:szCs w:val="28"/>
        </w:rPr>
        <w:t>devant</w:t>
      </w:r>
      <w:r w:rsidR="00764E49" w:rsidRPr="00E158E1">
        <w:rPr>
          <w:b/>
          <w:bCs/>
          <w:szCs w:val="28"/>
        </w:rPr>
        <w:t>!</w:t>
      </w:r>
      <w:r w:rsidR="005364EB" w:rsidRPr="00E158E1">
        <w:rPr>
          <w:szCs w:val="28"/>
        </w:rPr>
        <w:t>,</w:t>
      </w:r>
      <w:proofErr w:type="gramEnd"/>
      <w:r w:rsidR="005364EB" w:rsidRPr="00E158E1">
        <w:rPr>
          <w:szCs w:val="28"/>
        </w:rPr>
        <w:t xml:space="preserve"> vous pouvez visiter notre </w:t>
      </w:r>
      <w:hyperlink r:id="rId12" w:history="1">
        <w:r w:rsidR="005364EB" w:rsidRPr="00AA615E">
          <w:rPr>
            <w:rStyle w:val="Hyperlink"/>
            <w:b/>
            <w:bCs/>
            <w:szCs w:val="28"/>
          </w:rPr>
          <w:t>site web</w:t>
        </w:r>
      </w:hyperlink>
      <w:r w:rsidR="005364EB" w:rsidRPr="00E158E1">
        <w:rPr>
          <w:szCs w:val="28"/>
        </w:rPr>
        <w:t>.</w:t>
      </w:r>
    </w:p>
    <w:p w14:paraId="5D5FE434" w14:textId="1DE65C5C" w:rsidR="005364EB" w:rsidRPr="00E158E1" w:rsidRDefault="005364EB" w:rsidP="00BB7E2B">
      <w:pPr>
        <w:spacing w:after="240" w:line="276" w:lineRule="auto"/>
        <w:rPr>
          <w:szCs w:val="28"/>
        </w:rPr>
      </w:pPr>
    </w:p>
    <w:p w14:paraId="692883B4" w14:textId="4D507104" w:rsidR="005364EB" w:rsidRPr="00E158E1" w:rsidRDefault="005364EB" w:rsidP="0084533F">
      <w:pPr>
        <w:spacing w:after="240" w:line="276" w:lineRule="auto"/>
        <w:rPr>
          <w:szCs w:val="28"/>
        </w:rPr>
      </w:pPr>
      <w:r w:rsidRPr="00E158E1">
        <w:rPr>
          <w:b/>
          <w:bCs/>
          <w:szCs w:val="28"/>
        </w:rPr>
        <w:t xml:space="preserve">INCA </w:t>
      </w:r>
      <w:r w:rsidRPr="00E158E1">
        <w:rPr>
          <w:szCs w:val="28"/>
        </w:rPr>
        <w:t>tient également à souligner sa gratitude quant à l’appui fi</w:t>
      </w:r>
      <w:r w:rsidR="00764E49" w:rsidRPr="00E158E1">
        <w:rPr>
          <w:szCs w:val="28"/>
        </w:rPr>
        <w:t>n</w:t>
      </w:r>
      <w:r w:rsidRPr="00E158E1">
        <w:rPr>
          <w:szCs w:val="28"/>
        </w:rPr>
        <w:t xml:space="preserve">ancier du </w:t>
      </w:r>
      <w:hyperlink r:id="rId13" w:history="1">
        <w:r w:rsidRPr="007F3BE6">
          <w:rPr>
            <w:rStyle w:val="Hyperlink"/>
            <w:b/>
            <w:bCs/>
            <w:szCs w:val="28"/>
          </w:rPr>
          <w:t>Fond</w:t>
        </w:r>
        <w:r w:rsidR="006F019F">
          <w:rPr>
            <w:rStyle w:val="Hyperlink"/>
            <w:b/>
            <w:bCs/>
            <w:szCs w:val="28"/>
          </w:rPr>
          <w:t>s</w:t>
        </w:r>
        <w:r w:rsidRPr="007F3BE6">
          <w:rPr>
            <w:rStyle w:val="Hyperlink"/>
            <w:b/>
            <w:bCs/>
            <w:szCs w:val="28"/>
          </w:rPr>
          <w:t xml:space="preserve"> d’études notariales de la Chambre des notaires du Québec</w:t>
        </w:r>
      </w:hyperlink>
      <w:r w:rsidRPr="00E158E1">
        <w:rPr>
          <w:szCs w:val="28"/>
        </w:rPr>
        <w:t>.</w:t>
      </w:r>
      <w:r w:rsidR="0084533F" w:rsidRPr="0084533F">
        <w:rPr>
          <w:noProof/>
          <w:szCs w:val="28"/>
        </w:rPr>
        <w:t xml:space="preserve"> </w:t>
      </w:r>
    </w:p>
    <w:p w14:paraId="1A5394DD" w14:textId="47767102" w:rsidR="005364EB" w:rsidRPr="00E158E1" w:rsidRDefault="005364EB" w:rsidP="0084533F">
      <w:pPr>
        <w:jc w:val="center"/>
      </w:pPr>
      <w:r w:rsidRPr="00E158E1">
        <w:br w:type="page"/>
      </w:r>
    </w:p>
    <w:sdt>
      <w:sdtPr>
        <w:rPr>
          <w:rFonts w:ascii="Stag Sans Book" w:eastAsiaTheme="minorHAnsi" w:hAnsi="Stag Sans Book" w:cstheme="minorBidi"/>
          <w:color w:val="auto"/>
          <w:sz w:val="36"/>
          <w:szCs w:val="36"/>
          <w:lang w:eastAsia="en-US"/>
        </w:rPr>
        <w:id w:val="-1005669451"/>
        <w:docPartObj>
          <w:docPartGallery w:val="Table of Contents"/>
          <w:docPartUnique/>
        </w:docPartObj>
      </w:sdtPr>
      <w:sdtEndPr>
        <w:rPr>
          <w:rFonts w:ascii="Arial" w:hAnsi="Arial" w:cs="Arial"/>
          <w:sz w:val="32"/>
          <w:szCs w:val="32"/>
        </w:rPr>
      </w:sdtEndPr>
      <w:sdtContent>
        <w:p w14:paraId="6ED776CD" w14:textId="4705B95B" w:rsidR="005F1284" w:rsidRPr="005F1284" w:rsidRDefault="009C7EF0" w:rsidP="005F1284">
          <w:pPr>
            <w:pStyle w:val="TOCHeading"/>
            <w:rPr>
              <w:rFonts w:ascii="Arial" w:hAnsi="Arial" w:cs="Arial"/>
              <w:color w:val="auto"/>
              <w:spacing w:val="-10"/>
              <w:kern w:val="28"/>
            </w:rPr>
          </w:pPr>
          <w:r w:rsidRPr="00E158E1">
            <w:rPr>
              <w:rStyle w:val="TitleChar"/>
              <w:color w:val="auto"/>
            </w:rPr>
            <w:t>Table des matières</w:t>
          </w:r>
          <w:r w:rsidRPr="005F1284">
            <w:rPr>
              <w:rFonts w:ascii="Arial" w:hAnsi="Arial" w:cs="Arial"/>
            </w:rPr>
            <w:fldChar w:fldCharType="begin"/>
          </w:r>
          <w:r w:rsidRPr="005F1284">
            <w:rPr>
              <w:rFonts w:ascii="Arial" w:hAnsi="Arial" w:cs="Arial"/>
            </w:rPr>
            <w:instrText xml:space="preserve"> TOC \o "1-3" \h \z \u </w:instrText>
          </w:r>
          <w:r w:rsidRPr="005F1284">
            <w:rPr>
              <w:rFonts w:ascii="Arial" w:hAnsi="Arial" w:cs="Arial"/>
            </w:rPr>
            <w:fldChar w:fldCharType="separate"/>
          </w:r>
        </w:p>
        <w:p w14:paraId="5AF58D3C" w14:textId="0740FF57" w:rsidR="005F1284" w:rsidRPr="005F1284" w:rsidRDefault="00EE4E2D">
          <w:pPr>
            <w:pStyle w:val="TOC2"/>
            <w:tabs>
              <w:tab w:val="right" w:leader="dot" w:pos="9350"/>
            </w:tabs>
            <w:rPr>
              <w:rFonts w:ascii="Arial" w:eastAsiaTheme="minorEastAsia" w:hAnsi="Arial" w:cs="Arial"/>
              <w:noProof/>
              <w:sz w:val="32"/>
              <w:szCs w:val="32"/>
              <w:lang w:eastAsia="fr-CA"/>
            </w:rPr>
          </w:pPr>
          <w:hyperlink w:anchor="_Toc79748254" w:history="1">
            <w:r w:rsidR="005F1284" w:rsidRPr="005F1284">
              <w:rPr>
                <w:rStyle w:val="Hyperlink"/>
                <w:rFonts w:ascii="Arial" w:hAnsi="Arial" w:cs="Arial"/>
                <w:noProof/>
                <w:sz w:val="32"/>
                <w:szCs w:val="32"/>
              </w:rPr>
              <w:t>Questions générales</w:t>
            </w:r>
            <w:r w:rsidR="005F1284" w:rsidRPr="005F1284">
              <w:rPr>
                <w:rFonts w:ascii="Arial" w:hAnsi="Arial" w:cs="Arial"/>
                <w:noProof/>
                <w:webHidden/>
                <w:sz w:val="32"/>
                <w:szCs w:val="32"/>
              </w:rPr>
              <w:tab/>
            </w:r>
            <w:r w:rsidR="005F1284" w:rsidRPr="005F1284">
              <w:rPr>
                <w:rFonts w:ascii="Arial" w:hAnsi="Arial" w:cs="Arial"/>
                <w:noProof/>
                <w:webHidden/>
                <w:sz w:val="32"/>
                <w:szCs w:val="32"/>
              </w:rPr>
              <w:fldChar w:fldCharType="begin"/>
            </w:r>
            <w:r w:rsidR="005F1284" w:rsidRPr="005F1284">
              <w:rPr>
                <w:rFonts w:ascii="Arial" w:hAnsi="Arial" w:cs="Arial"/>
                <w:noProof/>
                <w:webHidden/>
                <w:sz w:val="32"/>
                <w:szCs w:val="32"/>
              </w:rPr>
              <w:instrText xml:space="preserve"> PAGEREF _Toc79748254 \h </w:instrText>
            </w:r>
            <w:r w:rsidR="005F1284" w:rsidRPr="005F1284">
              <w:rPr>
                <w:rFonts w:ascii="Arial" w:hAnsi="Arial" w:cs="Arial"/>
                <w:noProof/>
                <w:webHidden/>
                <w:sz w:val="32"/>
                <w:szCs w:val="32"/>
              </w:rPr>
            </w:r>
            <w:r w:rsidR="005F1284" w:rsidRPr="005F1284">
              <w:rPr>
                <w:rFonts w:ascii="Arial" w:hAnsi="Arial" w:cs="Arial"/>
                <w:noProof/>
                <w:webHidden/>
                <w:sz w:val="32"/>
                <w:szCs w:val="32"/>
              </w:rPr>
              <w:fldChar w:fldCharType="separate"/>
            </w:r>
            <w:r w:rsidR="00911325">
              <w:rPr>
                <w:rFonts w:ascii="Arial" w:hAnsi="Arial" w:cs="Arial"/>
                <w:noProof/>
                <w:webHidden/>
                <w:sz w:val="32"/>
                <w:szCs w:val="32"/>
              </w:rPr>
              <w:t>5</w:t>
            </w:r>
            <w:r w:rsidR="005F1284" w:rsidRPr="005F1284">
              <w:rPr>
                <w:rFonts w:ascii="Arial" w:hAnsi="Arial" w:cs="Arial"/>
                <w:noProof/>
                <w:webHidden/>
                <w:sz w:val="32"/>
                <w:szCs w:val="32"/>
              </w:rPr>
              <w:fldChar w:fldCharType="end"/>
            </w:r>
          </w:hyperlink>
        </w:p>
        <w:p w14:paraId="19380CE4" w14:textId="35A8CCF5" w:rsidR="005F1284" w:rsidRPr="005F1284" w:rsidRDefault="00EE4E2D">
          <w:pPr>
            <w:pStyle w:val="TOC3"/>
            <w:tabs>
              <w:tab w:val="right" w:leader="dot" w:pos="9350"/>
            </w:tabs>
            <w:rPr>
              <w:rFonts w:eastAsiaTheme="minorEastAsia" w:cs="Arial"/>
              <w:noProof/>
              <w:szCs w:val="32"/>
              <w:lang w:eastAsia="fr-CA"/>
            </w:rPr>
          </w:pPr>
          <w:hyperlink w:anchor="_Toc79748255" w:history="1">
            <w:r w:rsidR="005F1284" w:rsidRPr="005F1284">
              <w:rPr>
                <w:rStyle w:val="Hyperlink"/>
                <w:rFonts w:cs="Arial"/>
                <w:noProof/>
                <w:szCs w:val="32"/>
              </w:rPr>
              <w:t>Quels sont mes droits en matière de services gouvernementaux et aux consommateurs au Québec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_Toc79748255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5</w:t>
            </w:r>
            <w:r w:rsidR="005F1284" w:rsidRPr="005F1284">
              <w:rPr>
                <w:rFonts w:cs="Arial"/>
                <w:noProof/>
                <w:webHidden/>
                <w:szCs w:val="32"/>
              </w:rPr>
              <w:fldChar w:fldCharType="end"/>
            </w:r>
          </w:hyperlink>
        </w:p>
        <w:p w14:paraId="1653555B" w14:textId="4837943B" w:rsidR="005F1284" w:rsidRPr="005F1284" w:rsidRDefault="00EE4E2D">
          <w:pPr>
            <w:pStyle w:val="TOC3"/>
            <w:tabs>
              <w:tab w:val="right" w:leader="dot" w:pos="9350"/>
            </w:tabs>
            <w:rPr>
              <w:rFonts w:eastAsiaTheme="minorEastAsia" w:cs="Arial"/>
              <w:noProof/>
              <w:szCs w:val="32"/>
              <w:lang w:eastAsia="fr-CA"/>
            </w:rPr>
          </w:pPr>
          <w:hyperlink w:anchor="_Toc79748256" w:history="1">
            <w:r w:rsidR="005F1284" w:rsidRPr="005F1284">
              <w:rPr>
                <w:rStyle w:val="Hyperlink"/>
                <w:rFonts w:cs="Arial"/>
                <w:noProof/>
                <w:szCs w:val="32"/>
              </w:rPr>
              <w:t>Comment puis-je faire respecter mes droits en termes de services gouvernementaux et aux consommateurs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_Toc79748256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7</w:t>
            </w:r>
            <w:r w:rsidR="005F1284" w:rsidRPr="005F1284">
              <w:rPr>
                <w:rFonts w:cs="Arial"/>
                <w:noProof/>
                <w:webHidden/>
                <w:szCs w:val="32"/>
              </w:rPr>
              <w:fldChar w:fldCharType="end"/>
            </w:r>
          </w:hyperlink>
        </w:p>
        <w:p w14:paraId="15FE4553" w14:textId="53CF3CF6" w:rsidR="005F1284" w:rsidRPr="005F1284" w:rsidRDefault="00EE4E2D">
          <w:pPr>
            <w:pStyle w:val="TOC2"/>
            <w:tabs>
              <w:tab w:val="right" w:leader="dot" w:pos="9350"/>
            </w:tabs>
            <w:rPr>
              <w:rFonts w:ascii="Arial" w:eastAsiaTheme="minorEastAsia" w:hAnsi="Arial" w:cs="Arial"/>
              <w:noProof/>
              <w:sz w:val="32"/>
              <w:szCs w:val="32"/>
              <w:lang w:eastAsia="fr-CA"/>
            </w:rPr>
          </w:pPr>
          <w:hyperlink w:anchor="_Toc79748257" w:history="1">
            <w:r w:rsidR="005F1284" w:rsidRPr="005F1284">
              <w:rPr>
                <w:rStyle w:val="Hyperlink"/>
                <w:rFonts w:ascii="Arial" w:hAnsi="Arial" w:cs="Arial"/>
                <w:noProof/>
                <w:sz w:val="32"/>
                <w:szCs w:val="32"/>
              </w:rPr>
              <w:t>Questions spécifiques</w:t>
            </w:r>
            <w:r w:rsidR="005F1284" w:rsidRPr="005F1284">
              <w:rPr>
                <w:rFonts w:ascii="Arial" w:hAnsi="Arial" w:cs="Arial"/>
                <w:noProof/>
                <w:webHidden/>
                <w:sz w:val="32"/>
                <w:szCs w:val="32"/>
              </w:rPr>
              <w:tab/>
            </w:r>
            <w:r w:rsidR="005F1284" w:rsidRPr="005F1284">
              <w:rPr>
                <w:rFonts w:ascii="Arial" w:hAnsi="Arial" w:cs="Arial"/>
                <w:noProof/>
                <w:webHidden/>
                <w:sz w:val="32"/>
                <w:szCs w:val="32"/>
              </w:rPr>
              <w:fldChar w:fldCharType="begin"/>
            </w:r>
            <w:r w:rsidR="005F1284" w:rsidRPr="005F1284">
              <w:rPr>
                <w:rFonts w:ascii="Arial" w:hAnsi="Arial" w:cs="Arial"/>
                <w:noProof/>
                <w:webHidden/>
                <w:sz w:val="32"/>
                <w:szCs w:val="32"/>
              </w:rPr>
              <w:instrText xml:space="preserve"> PAGEREF _Toc79748257 \h </w:instrText>
            </w:r>
            <w:r w:rsidR="005F1284" w:rsidRPr="005F1284">
              <w:rPr>
                <w:rFonts w:ascii="Arial" w:hAnsi="Arial" w:cs="Arial"/>
                <w:noProof/>
                <w:webHidden/>
                <w:sz w:val="32"/>
                <w:szCs w:val="32"/>
              </w:rPr>
            </w:r>
            <w:r w:rsidR="005F1284" w:rsidRPr="005F1284">
              <w:rPr>
                <w:rFonts w:ascii="Arial" w:hAnsi="Arial" w:cs="Arial"/>
                <w:noProof/>
                <w:webHidden/>
                <w:sz w:val="32"/>
                <w:szCs w:val="32"/>
              </w:rPr>
              <w:fldChar w:fldCharType="separate"/>
            </w:r>
            <w:r w:rsidR="00911325">
              <w:rPr>
                <w:rFonts w:ascii="Arial" w:hAnsi="Arial" w:cs="Arial"/>
                <w:noProof/>
                <w:webHidden/>
                <w:sz w:val="32"/>
                <w:szCs w:val="32"/>
              </w:rPr>
              <w:t>9</w:t>
            </w:r>
            <w:r w:rsidR="005F1284" w:rsidRPr="005F1284">
              <w:rPr>
                <w:rFonts w:ascii="Arial" w:hAnsi="Arial" w:cs="Arial"/>
                <w:noProof/>
                <w:webHidden/>
                <w:sz w:val="32"/>
                <w:szCs w:val="32"/>
              </w:rPr>
              <w:fldChar w:fldCharType="end"/>
            </w:r>
          </w:hyperlink>
        </w:p>
        <w:p w14:paraId="56B63CA5" w14:textId="6ED493F9" w:rsidR="005F1284" w:rsidRPr="005F1284" w:rsidRDefault="00EE4E2D">
          <w:pPr>
            <w:pStyle w:val="TOC3"/>
            <w:tabs>
              <w:tab w:val="right" w:leader="dot" w:pos="9350"/>
            </w:tabs>
            <w:rPr>
              <w:rFonts w:eastAsiaTheme="minorEastAsia" w:cs="Arial"/>
              <w:noProof/>
              <w:szCs w:val="32"/>
              <w:lang w:eastAsia="fr-CA"/>
            </w:rPr>
          </w:pPr>
          <w:hyperlink w:anchor="_Toc79748258" w:history="1">
            <w:r w:rsidR="005F1284" w:rsidRPr="005F1284">
              <w:rPr>
                <w:rStyle w:val="Hyperlink"/>
                <w:rFonts w:cs="Arial"/>
                <w:noProof/>
                <w:szCs w:val="32"/>
              </w:rPr>
              <w:t>En raison de ma limitation visuelle, j’ai du mal à naviguer sur les sites web du gouvernement et accéder aux services en ligne.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_Toc79748258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9</w:t>
            </w:r>
            <w:r w:rsidR="005F1284" w:rsidRPr="005F1284">
              <w:rPr>
                <w:rFonts w:cs="Arial"/>
                <w:noProof/>
                <w:webHidden/>
                <w:szCs w:val="32"/>
              </w:rPr>
              <w:fldChar w:fldCharType="end"/>
            </w:r>
          </w:hyperlink>
        </w:p>
        <w:p w14:paraId="28416853" w14:textId="17009D0A" w:rsidR="005F1284" w:rsidRPr="005F1284" w:rsidRDefault="00EE4E2D">
          <w:pPr>
            <w:pStyle w:val="TOC3"/>
            <w:tabs>
              <w:tab w:val="right" w:leader="dot" w:pos="9350"/>
            </w:tabs>
            <w:rPr>
              <w:rFonts w:eastAsiaTheme="minorEastAsia" w:cs="Arial"/>
              <w:noProof/>
              <w:szCs w:val="32"/>
              <w:lang w:eastAsia="fr-CA"/>
            </w:rPr>
          </w:pPr>
          <w:hyperlink w:anchor="_Toc79748259" w:history="1">
            <w:r w:rsidR="005F1284" w:rsidRPr="005F1284">
              <w:rPr>
                <w:rStyle w:val="Hyperlink"/>
                <w:rFonts w:cs="Arial"/>
                <w:noProof/>
                <w:szCs w:val="32"/>
              </w:rPr>
              <w:t>Lorsque j’ai essayé de remplir un formulaire papier dans un bureau du gouvernement, j’ai demandé de l’aide à un employé du gouvernement. Ils ont dit qu’« en raison de problèmes de responsabilité », ils ne pouvaient pas m’aider.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_Toc79748259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10</w:t>
            </w:r>
            <w:r w:rsidR="005F1284" w:rsidRPr="005F1284">
              <w:rPr>
                <w:rFonts w:cs="Arial"/>
                <w:noProof/>
                <w:webHidden/>
                <w:szCs w:val="32"/>
              </w:rPr>
              <w:fldChar w:fldCharType="end"/>
            </w:r>
          </w:hyperlink>
        </w:p>
        <w:p w14:paraId="704BFE95" w14:textId="3499A888" w:rsidR="005F1284" w:rsidRPr="005F1284" w:rsidRDefault="00EE4E2D">
          <w:pPr>
            <w:pStyle w:val="TOC3"/>
            <w:tabs>
              <w:tab w:val="right" w:leader="dot" w:pos="9350"/>
            </w:tabs>
            <w:rPr>
              <w:rFonts w:eastAsiaTheme="minorEastAsia" w:cs="Arial"/>
              <w:noProof/>
              <w:szCs w:val="32"/>
              <w:lang w:eastAsia="fr-CA"/>
            </w:rPr>
          </w:pPr>
          <w:hyperlink w:anchor="_Toc79748260" w:history="1">
            <w:r w:rsidR="005F1284" w:rsidRPr="005F1284">
              <w:rPr>
                <w:rStyle w:val="Hyperlink"/>
                <w:rFonts w:cs="Arial"/>
                <w:noProof/>
                <w:szCs w:val="32"/>
              </w:rPr>
              <w:t>Parfois, une entreprise me demande de fournir une pièce d’identité valide émise par le gouvernement. Je n’ai pas de permis de conduire et je ne veux pas porter mon passeport.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_Toc79748260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11</w:t>
            </w:r>
            <w:r w:rsidR="005F1284" w:rsidRPr="005F1284">
              <w:rPr>
                <w:rFonts w:cs="Arial"/>
                <w:noProof/>
                <w:webHidden/>
                <w:szCs w:val="32"/>
              </w:rPr>
              <w:fldChar w:fldCharType="end"/>
            </w:r>
          </w:hyperlink>
        </w:p>
        <w:p w14:paraId="2E729071" w14:textId="76C085C9" w:rsidR="005F1284" w:rsidRPr="005F1284" w:rsidRDefault="00EE4E2D">
          <w:pPr>
            <w:pStyle w:val="TOC3"/>
            <w:tabs>
              <w:tab w:val="right" w:leader="dot" w:pos="9350"/>
            </w:tabs>
            <w:rPr>
              <w:rFonts w:eastAsiaTheme="minorEastAsia" w:cs="Arial"/>
              <w:noProof/>
              <w:szCs w:val="32"/>
              <w:lang w:eastAsia="fr-CA"/>
            </w:rPr>
          </w:pPr>
          <w:hyperlink w:anchor="_Toc79748261" w:history="1">
            <w:r w:rsidR="005F1284" w:rsidRPr="005F1284">
              <w:rPr>
                <w:rStyle w:val="Hyperlink"/>
                <w:rFonts w:cs="Arial"/>
                <w:noProof/>
                <w:szCs w:val="32"/>
              </w:rPr>
              <w:t>Lorsque je fais du shopping, je rencontre souvent des files d’attente inaccessibles : par exemple, un système de numéros « take-a-number » ou des files d’attente marquées à l’aide de poteaux reliés par des cordes ou des courroies (ceux-ci sont souvent utilisés dans les aéroports et appelés « stanchions »).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_Toc79748261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12</w:t>
            </w:r>
            <w:r w:rsidR="005F1284" w:rsidRPr="005F1284">
              <w:rPr>
                <w:rFonts w:cs="Arial"/>
                <w:noProof/>
                <w:webHidden/>
                <w:szCs w:val="32"/>
              </w:rPr>
              <w:fldChar w:fldCharType="end"/>
            </w:r>
          </w:hyperlink>
        </w:p>
        <w:p w14:paraId="7C1C11B1" w14:textId="79209E8E" w:rsidR="005F1284" w:rsidRPr="005F1284" w:rsidRDefault="00EE4E2D">
          <w:pPr>
            <w:pStyle w:val="TOC3"/>
            <w:tabs>
              <w:tab w:val="right" w:leader="dot" w:pos="9350"/>
            </w:tabs>
            <w:rPr>
              <w:rFonts w:eastAsiaTheme="minorEastAsia" w:cs="Arial"/>
              <w:noProof/>
              <w:szCs w:val="32"/>
              <w:lang w:eastAsia="fr-CA"/>
            </w:rPr>
          </w:pPr>
          <w:hyperlink w:anchor="_Toc79748262" w:history="1">
            <w:r w:rsidR="005F1284" w:rsidRPr="005F1284">
              <w:rPr>
                <w:rStyle w:val="Hyperlink"/>
                <w:rFonts w:cs="Arial"/>
                <w:noProof/>
                <w:szCs w:val="32"/>
              </w:rPr>
              <w:t>Lorsque je magasine, j’ai souvent de la difficulté à lire les étiquettes et à faire la différence entre les produits.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_Toc79748262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13</w:t>
            </w:r>
            <w:r w:rsidR="005F1284" w:rsidRPr="005F1284">
              <w:rPr>
                <w:rFonts w:cs="Arial"/>
                <w:noProof/>
                <w:webHidden/>
                <w:szCs w:val="32"/>
              </w:rPr>
              <w:fldChar w:fldCharType="end"/>
            </w:r>
          </w:hyperlink>
        </w:p>
        <w:p w14:paraId="5BDFC0EA" w14:textId="1F9E825E" w:rsidR="005F1284" w:rsidRPr="005F1284" w:rsidRDefault="00EE4E2D">
          <w:pPr>
            <w:pStyle w:val="TOC3"/>
            <w:tabs>
              <w:tab w:val="right" w:leader="dot" w:pos="9350"/>
            </w:tabs>
            <w:rPr>
              <w:rFonts w:eastAsiaTheme="minorEastAsia" w:cs="Arial"/>
              <w:noProof/>
              <w:szCs w:val="32"/>
              <w:lang w:eastAsia="fr-CA"/>
            </w:rPr>
          </w:pPr>
          <w:hyperlink w:anchor="_Toc79748263" w:history="1">
            <w:r w:rsidR="005F1284" w:rsidRPr="005F1284">
              <w:rPr>
                <w:rStyle w:val="Hyperlink"/>
                <w:rFonts w:cs="Arial"/>
                <w:noProof/>
                <w:szCs w:val="32"/>
              </w:rPr>
              <w:t>Lorsque je fais du magasinage ou que je dîne à l’extérieur, je rencontre souvent un terminal de point de vente inaccessible.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_Toc79748263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14</w:t>
            </w:r>
            <w:r w:rsidR="005F1284" w:rsidRPr="005F1284">
              <w:rPr>
                <w:rFonts w:cs="Arial"/>
                <w:noProof/>
                <w:webHidden/>
                <w:szCs w:val="32"/>
              </w:rPr>
              <w:fldChar w:fldCharType="end"/>
            </w:r>
          </w:hyperlink>
        </w:p>
        <w:p w14:paraId="31F8B689" w14:textId="4A14A9E5" w:rsidR="005F1284" w:rsidRPr="005F1284" w:rsidRDefault="00EE4E2D">
          <w:pPr>
            <w:pStyle w:val="TOC3"/>
            <w:tabs>
              <w:tab w:val="right" w:leader="dot" w:pos="9350"/>
            </w:tabs>
            <w:rPr>
              <w:rFonts w:eastAsiaTheme="minorEastAsia" w:cs="Arial"/>
              <w:noProof/>
              <w:szCs w:val="32"/>
              <w:lang w:eastAsia="fr-CA"/>
            </w:rPr>
          </w:pPr>
          <w:hyperlink w:anchor="_Toc79748264" w:history="1">
            <w:r w:rsidR="005F1284" w:rsidRPr="005F1284">
              <w:rPr>
                <w:rStyle w:val="Hyperlink"/>
                <w:rFonts w:cs="Arial"/>
                <w:noProof/>
                <w:szCs w:val="32"/>
              </w:rPr>
              <w:t>Je suis parfois désorienté lorsque je visite de nouveaux magasins, centres de services ou autres lieux publics.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_Toc79748264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15</w:t>
            </w:r>
            <w:r w:rsidR="005F1284" w:rsidRPr="005F1284">
              <w:rPr>
                <w:rFonts w:cs="Arial"/>
                <w:noProof/>
                <w:webHidden/>
                <w:szCs w:val="32"/>
              </w:rPr>
              <w:fldChar w:fldCharType="end"/>
            </w:r>
          </w:hyperlink>
        </w:p>
        <w:p w14:paraId="2D7F8455" w14:textId="7BF826F0" w:rsidR="005F1284" w:rsidRPr="005F1284" w:rsidRDefault="00EE4E2D">
          <w:pPr>
            <w:pStyle w:val="TOC3"/>
            <w:tabs>
              <w:tab w:val="right" w:leader="dot" w:pos="9350"/>
            </w:tabs>
            <w:rPr>
              <w:rFonts w:eastAsiaTheme="minorEastAsia" w:cs="Arial"/>
              <w:noProof/>
              <w:szCs w:val="32"/>
              <w:lang w:eastAsia="fr-CA"/>
            </w:rPr>
          </w:pPr>
          <w:hyperlink w:anchor="_Toc79748265" w:history="1">
            <w:r w:rsidR="005F1284" w:rsidRPr="005F1284">
              <w:rPr>
                <w:rStyle w:val="Hyperlink"/>
                <w:rFonts w:cs="Arial"/>
                <w:noProof/>
                <w:szCs w:val="32"/>
              </w:rPr>
              <w:t>On m’a refusé l’accès à un restaurant ou à un magasin parce que j’étais accompagné de mon chien-guide. Qu’est-ce que je peux faire ?</w:t>
            </w:r>
            <w:r w:rsidR="005F1284" w:rsidRPr="005F1284">
              <w:rPr>
                <w:rFonts w:cs="Arial"/>
                <w:noProof/>
                <w:webHidden/>
                <w:szCs w:val="32"/>
              </w:rPr>
              <w:tab/>
            </w:r>
            <w:r w:rsidR="005F1284" w:rsidRPr="005F1284">
              <w:rPr>
                <w:rFonts w:cs="Arial"/>
                <w:noProof/>
                <w:webHidden/>
                <w:szCs w:val="32"/>
              </w:rPr>
              <w:fldChar w:fldCharType="begin"/>
            </w:r>
            <w:r w:rsidR="005F1284" w:rsidRPr="005F1284">
              <w:rPr>
                <w:rFonts w:cs="Arial"/>
                <w:noProof/>
                <w:webHidden/>
                <w:szCs w:val="32"/>
              </w:rPr>
              <w:instrText xml:space="preserve"> PAGEREF _Toc79748265 \h </w:instrText>
            </w:r>
            <w:r w:rsidR="005F1284" w:rsidRPr="005F1284">
              <w:rPr>
                <w:rFonts w:cs="Arial"/>
                <w:noProof/>
                <w:webHidden/>
                <w:szCs w:val="32"/>
              </w:rPr>
            </w:r>
            <w:r w:rsidR="005F1284" w:rsidRPr="005F1284">
              <w:rPr>
                <w:rFonts w:cs="Arial"/>
                <w:noProof/>
                <w:webHidden/>
                <w:szCs w:val="32"/>
              </w:rPr>
              <w:fldChar w:fldCharType="separate"/>
            </w:r>
            <w:r w:rsidR="00911325">
              <w:rPr>
                <w:rFonts w:cs="Arial"/>
                <w:noProof/>
                <w:webHidden/>
                <w:szCs w:val="32"/>
              </w:rPr>
              <w:t>16</w:t>
            </w:r>
            <w:r w:rsidR="005F1284" w:rsidRPr="005F1284">
              <w:rPr>
                <w:rFonts w:cs="Arial"/>
                <w:noProof/>
                <w:webHidden/>
                <w:szCs w:val="32"/>
              </w:rPr>
              <w:fldChar w:fldCharType="end"/>
            </w:r>
          </w:hyperlink>
        </w:p>
        <w:p w14:paraId="5804FE5F" w14:textId="10046D33" w:rsidR="00705C84" w:rsidRPr="005F1284" w:rsidRDefault="009C7EF0" w:rsidP="00705C84">
          <w:pPr>
            <w:rPr>
              <w:rFonts w:cs="Arial"/>
              <w:sz w:val="32"/>
              <w:szCs w:val="32"/>
            </w:rPr>
          </w:pPr>
          <w:r w:rsidRPr="005F1284">
            <w:rPr>
              <w:rFonts w:cs="Arial"/>
              <w:sz w:val="32"/>
              <w:szCs w:val="32"/>
            </w:rPr>
            <w:fldChar w:fldCharType="end"/>
          </w:r>
        </w:p>
      </w:sdtContent>
    </w:sdt>
    <w:p w14:paraId="6C381ABC" w14:textId="77777777" w:rsidR="00EB5EE4" w:rsidRDefault="00EB5EE4">
      <w:r>
        <w:br w:type="page"/>
      </w:r>
    </w:p>
    <w:p w14:paraId="0C3491FD" w14:textId="6F546C30" w:rsidR="00A442F9" w:rsidRPr="00E158E1" w:rsidRDefault="00A442F9" w:rsidP="00AA1182">
      <w:pPr>
        <w:spacing w:line="276" w:lineRule="auto"/>
      </w:pPr>
      <w:r w:rsidRPr="00E158E1">
        <w:lastRenderedPageBreak/>
        <w:t>Le présent document</w:t>
      </w:r>
      <w:r w:rsidR="00E8030F" w:rsidRPr="00E158E1">
        <w:t xml:space="preserve"> traite </w:t>
      </w:r>
      <w:r w:rsidR="00D51D6E">
        <w:t xml:space="preserve">des </w:t>
      </w:r>
      <w:r w:rsidR="00D51D6E">
        <w:rPr>
          <w:b/>
          <w:bCs/>
        </w:rPr>
        <w:t>services gouvernementaux et aux consommateurs</w:t>
      </w:r>
      <w:r w:rsidR="00E8030F" w:rsidRPr="00E158E1">
        <w:t xml:space="preserve">. Plusieurs questions seront abordées sur le plan </w:t>
      </w:r>
      <w:r w:rsidR="00E8030F" w:rsidRPr="00E158E1">
        <w:rPr>
          <w:b/>
          <w:bCs/>
        </w:rPr>
        <w:t>général</w:t>
      </w:r>
      <w:r w:rsidR="00E8030F" w:rsidRPr="00E158E1">
        <w:t xml:space="preserve"> et </w:t>
      </w:r>
      <w:r w:rsidR="00E8030F" w:rsidRPr="00E158E1">
        <w:rPr>
          <w:b/>
          <w:bCs/>
        </w:rPr>
        <w:t>spécifique</w:t>
      </w:r>
      <w:r w:rsidR="00E8030F" w:rsidRPr="00E158E1">
        <w:t xml:space="preserve"> afin de vous </w:t>
      </w:r>
      <w:r w:rsidR="008E756B" w:rsidRPr="00E158E1">
        <w:t xml:space="preserve">éclairer sur le sujet. </w:t>
      </w:r>
      <w:r w:rsidR="00E46D2E" w:rsidRPr="00E158E1">
        <w:t>Il vous sera également présenté certaines loi</w:t>
      </w:r>
      <w:r w:rsidR="00764E49" w:rsidRPr="00E158E1">
        <w:t>s</w:t>
      </w:r>
      <w:r w:rsidR="00DC25F1" w:rsidRPr="00E158E1">
        <w:t xml:space="preserve"> ainsi que des articles compris dans celles-ci</w:t>
      </w:r>
      <w:r w:rsidR="00E46D2E" w:rsidRPr="00E158E1">
        <w:t xml:space="preserve"> </w:t>
      </w:r>
      <w:r w:rsidR="00DC25F1" w:rsidRPr="00E158E1">
        <w:t xml:space="preserve">qui vous seront utiles </w:t>
      </w:r>
      <w:r w:rsidR="00E46D2E" w:rsidRPr="00E158E1">
        <w:t xml:space="preserve">afin de </w:t>
      </w:r>
      <w:r w:rsidR="00E46D2E" w:rsidRPr="00E158E1">
        <w:rPr>
          <w:b/>
          <w:bCs/>
        </w:rPr>
        <w:t>défendre vos droits</w:t>
      </w:r>
      <w:r w:rsidR="00E46D2E" w:rsidRPr="00E158E1">
        <w:t xml:space="preserve"> en matière </w:t>
      </w:r>
      <w:r w:rsidR="008954FC">
        <w:t>de s</w:t>
      </w:r>
      <w:r w:rsidR="00571E5A">
        <w:t>ervices gouvernementaux et aux consommateurs</w:t>
      </w:r>
      <w:r w:rsidR="00E46D2E" w:rsidRPr="00E158E1">
        <w:t xml:space="preserve">, lorsque ceux-ci ne sont pas respectés. </w:t>
      </w:r>
    </w:p>
    <w:p w14:paraId="45BCC950" w14:textId="77777777" w:rsidR="00496AD5" w:rsidRPr="00E158E1" w:rsidRDefault="00496AD5" w:rsidP="00AA1182">
      <w:pPr>
        <w:spacing w:line="276" w:lineRule="auto"/>
      </w:pPr>
    </w:p>
    <w:p w14:paraId="2D85963B" w14:textId="48EF8B77" w:rsidR="002011A0" w:rsidRPr="00E158E1" w:rsidRDefault="009772AA" w:rsidP="005F1284">
      <w:pPr>
        <w:pStyle w:val="Heading2"/>
      </w:pPr>
      <w:bookmarkStart w:id="4" w:name="_Toc74831127"/>
      <w:bookmarkStart w:id="5" w:name="_Toc79748254"/>
      <w:r w:rsidRPr="00E158E1">
        <w:t>Questions génér</w:t>
      </w:r>
      <w:r w:rsidR="006324A9" w:rsidRPr="00E158E1">
        <w:t>ales</w:t>
      </w:r>
      <w:bookmarkEnd w:id="4"/>
      <w:bookmarkEnd w:id="5"/>
    </w:p>
    <w:p w14:paraId="713E3CD4" w14:textId="7997867D" w:rsidR="008834E1" w:rsidRPr="00E158E1" w:rsidRDefault="00600854" w:rsidP="00AA1182">
      <w:pPr>
        <w:spacing w:line="276" w:lineRule="auto"/>
      </w:pPr>
      <w:r w:rsidRPr="00E158E1">
        <w:t>Cette section</w:t>
      </w:r>
      <w:r w:rsidR="00102DBF" w:rsidRPr="00E158E1">
        <w:t xml:space="preserve"> </w:t>
      </w:r>
      <w:r w:rsidR="00B3110A" w:rsidRPr="00E158E1">
        <w:t xml:space="preserve">traite des questions générales sur les </w:t>
      </w:r>
      <w:r w:rsidR="00D51D6E">
        <w:t>services gouvernementaux et aux consommateurs</w:t>
      </w:r>
      <w:r w:rsidR="00B3110A" w:rsidRPr="00E158E1">
        <w:t>, ainsi que des recours spécifiques en</w:t>
      </w:r>
      <w:r w:rsidR="00503090">
        <w:t xml:space="preserve"> la matière</w:t>
      </w:r>
      <w:r w:rsidR="007879A2" w:rsidRPr="00E158E1">
        <w:t xml:space="preserve">. Pour connaître les </w:t>
      </w:r>
      <w:hyperlink r:id="rId14" w:history="1">
        <w:r w:rsidR="007879A2" w:rsidRPr="006F019F">
          <w:rPr>
            <w:rStyle w:val="Hyperlink"/>
            <w:b/>
            <w:bCs/>
          </w:rPr>
          <w:t>recours généraux</w:t>
        </w:r>
      </w:hyperlink>
      <w:r w:rsidR="007879A2" w:rsidRPr="00E158E1">
        <w:t>, consultez le document prévu à cet effet.</w:t>
      </w:r>
    </w:p>
    <w:p w14:paraId="186DA671" w14:textId="77777777" w:rsidR="00BB7E2B" w:rsidRPr="00E158E1" w:rsidRDefault="00BB7E2B" w:rsidP="00AA1182">
      <w:pPr>
        <w:spacing w:line="276" w:lineRule="auto"/>
      </w:pPr>
    </w:p>
    <w:p w14:paraId="2AE6B884" w14:textId="3D164480" w:rsidR="003977B1" w:rsidRDefault="006324A9" w:rsidP="005F1284">
      <w:pPr>
        <w:pStyle w:val="Heading3"/>
      </w:pPr>
      <w:bookmarkStart w:id="6" w:name="_Toc74831128"/>
      <w:bookmarkStart w:id="7" w:name="_Toc79748255"/>
      <w:r w:rsidRPr="00E158E1">
        <w:t>Quels sont mes droits</w:t>
      </w:r>
      <w:r w:rsidR="00F36FCF" w:rsidRPr="00E158E1">
        <w:t xml:space="preserve"> en matière </w:t>
      </w:r>
      <w:r w:rsidR="00B03DAB">
        <w:t xml:space="preserve">de </w:t>
      </w:r>
      <w:r w:rsidR="00571E5A">
        <w:t>services gouvernementaux et aux consommateurs</w:t>
      </w:r>
      <w:r w:rsidR="00F36FCF" w:rsidRPr="00E158E1">
        <w:t xml:space="preserve"> au Québec</w:t>
      </w:r>
      <w:r w:rsidR="004F59B2" w:rsidRPr="00E158E1">
        <w:rPr>
          <w:rFonts w:ascii="Arial" w:hAnsi="Arial" w:cs="Arial"/>
        </w:rPr>
        <w:t> </w:t>
      </w:r>
      <w:r w:rsidR="00F36FCF" w:rsidRPr="00E158E1">
        <w:t>?</w:t>
      </w:r>
      <w:bookmarkEnd w:id="6"/>
      <w:bookmarkEnd w:id="7"/>
    </w:p>
    <w:p w14:paraId="0C269A0F" w14:textId="6D743606" w:rsidR="000E70BE" w:rsidRPr="00527F76" w:rsidRDefault="00527F76" w:rsidP="005F1284">
      <w:pPr>
        <w:pStyle w:val="Heading4"/>
      </w:pPr>
      <w:r>
        <w:t>Au niveau international</w:t>
      </w:r>
    </w:p>
    <w:p w14:paraId="30FD4775" w14:textId="1428D8B4" w:rsidR="000E70BE" w:rsidRDefault="000E70BE" w:rsidP="00AA1182">
      <w:pPr>
        <w:spacing w:line="276" w:lineRule="auto"/>
        <w:rPr>
          <w:rFonts w:cs="Arial"/>
          <w:bCs/>
          <w:szCs w:val="28"/>
        </w:rPr>
      </w:pPr>
      <w:r w:rsidRPr="00E158E1">
        <w:rPr>
          <w:rFonts w:cstheme="majorBidi"/>
          <w:szCs w:val="28"/>
        </w:rPr>
        <w:t xml:space="preserve">Sur le plan international, la </w:t>
      </w:r>
      <w:bookmarkStart w:id="8" w:name="_Hlk74835471"/>
      <w:r w:rsidRPr="00E158E1">
        <w:rPr>
          <w:b/>
          <w:bCs/>
        </w:rPr>
        <w:t>Convention internationale relative aux droits des personnes handicapées</w:t>
      </w:r>
      <w:bookmarkEnd w:id="8"/>
      <w:r w:rsidRPr="00E158E1">
        <w:rPr>
          <w:rStyle w:val="FootnoteReference"/>
        </w:rPr>
        <w:footnoteReference w:id="1"/>
      </w:r>
      <w:r w:rsidRPr="00E158E1">
        <w:rPr>
          <w:rFonts w:cstheme="majorBidi"/>
          <w:szCs w:val="28"/>
        </w:rPr>
        <w:t>, signée par le Canada en 2010 est à consulter.</w:t>
      </w:r>
      <w:r w:rsidR="00CE410C">
        <w:rPr>
          <w:rFonts w:cstheme="majorBidi"/>
          <w:szCs w:val="28"/>
        </w:rPr>
        <w:t xml:space="preserve"> </w:t>
      </w:r>
      <w:r w:rsidR="00CE410C" w:rsidRPr="00FE143F">
        <w:rPr>
          <w:rFonts w:cs="Arial"/>
          <w:bCs/>
          <w:szCs w:val="28"/>
        </w:rPr>
        <w:t>L’article</w:t>
      </w:r>
      <w:r w:rsidR="0047325E">
        <w:rPr>
          <w:rFonts w:cs="Arial"/>
          <w:bCs/>
          <w:szCs w:val="28"/>
        </w:rPr>
        <w:t> </w:t>
      </w:r>
      <w:r w:rsidR="00CE410C" w:rsidRPr="00FE143F">
        <w:rPr>
          <w:rFonts w:cs="Arial"/>
          <w:bCs/>
          <w:szCs w:val="28"/>
        </w:rPr>
        <w:t xml:space="preserve">4 de la Convention relative aux droits des personnes handicapées qui prévoit certaines obligations aux États </w:t>
      </w:r>
      <w:r w:rsidR="00CE410C">
        <w:rPr>
          <w:rFonts w:cs="Arial"/>
          <w:bCs/>
          <w:szCs w:val="28"/>
        </w:rPr>
        <w:t>parti</w:t>
      </w:r>
      <w:r w:rsidR="00CB7E6E">
        <w:rPr>
          <w:rFonts w:cs="Arial"/>
          <w:bCs/>
          <w:szCs w:val="28"/>
        </w:rPr>
        <w:t>es :</w:t>
      </w:r>
    </w:p>
    <w:p w14:paraId="182466C7" w14:textId="140C7B19" w:rsidR="00CB7E6E" w:rsidRDefault="00CB7E6E" w:rsidP="00AA1182">
      <w:pPr>
        <w:spacing w:line="276" w:lineRule="auto"/>
        <w:rPr>
          <w:rFonts w:cs="Arial"/>
          <w:bCs/>
          <w:szCs w:val="28"/>
        </w:rPr>
      </w:pPr>
      <w:r>
        <w:rPr>
          <w:rFonts w:cs="Arial"/>
          <w:bCs/>
          <w:szCs w:val="28"/>
        </w:rPr>
        <w:t>«</w:t>
      </w:r>
      <w:r w:rsidR="008F4792">
        <w:rPr>
          <w:rFonts w:cs="Arial"/>
          <w:bCs/>
          <w:szCs w:val="28"/>
        </w:rPr>
        <w:t> </w:t>
      </w:r>
      <w:r w:rsidR="008F3364" w:rsidRPr="008F3364">
        <w:rPr>
          <w:rFonts w:cs="Arial"/>
          <w:bCs/>
          <w:szCs w:val="28"/>
        </w:rPr>
        <w:t>Les États Parties s</w:t>
      </w:r>
      <w:r w:rsidR="00033E85">
        <w:rPr>
          <w:rFonts w:cs="Arial"/>
          <w:bCs/>
          <w:szCs w:val="28"/>
        </w:rPr>
        <w:t>’</w:t>
      </w:r>
      <w:r w:rsidR="008F3364" w:rsidRPr="008F3364">
        <w:rPr>
          <w:rFonts w:cs="Arial"/>
          <w:bCs/>
          <w:szCs w:val="28"/>
        </w:rPr>
        <w:t>engagent à garantir et à promouvoir le plein exercice de tous les droits de l</w:t>
      </w:r>
      <w:r w:rsidR="00033E85">
        <w:rPr>
          <w:rFonts w:cs="Arial"/>
          <w:bCs/>
          <w:szCs w:val="28"/>
        </w:rPr>
        <w:t>’</w:t>
      </w:r>
      <w:r w:rsidR="008F3364" w:rsidRPr="008F3364">
        <w:rPr>
          <w:rFonts w:cs="Arial"/>
          <w:bCs/>
          <w:szCs w:val="28"/>
        </w:rPr>
        <w:t xml:space="preserve">homme et de toutes les libertés fondamentales de </w:t>
      </w:r>
      <w:r w:rsidR="008F3364" w:rsidRPr="008F3364">
        <w:rPr>
          <w:rFonts w:cs="Arial"/>
          <w:bCs/>
          <w:szCs w:val="28"/>
        </w:rPr>
        <w:lastRenderedPageBreak/>
        <w:t>toutes les personnes handicapées sans discrimination d</w:t>
      </w:r>
      <w:r w:rsidR="00033E85">
        <w:rPr>
          <w:rFonts w:cs="Arial"/>
          <w:bCs/>
          <w:szCs w:val="28"/>
        </w:rPr>
        <w:t>’</w:t>
      </w:r>
      <w:r w:rsidR="008F3364" w:rsidRPr="008F3364">
        <w:rPr>
          <w:rFonts w:cs="Arial"/>
          <w:bCs/>
          <w:szCs w:val="28"/>
        </w:rPr>
        <w:t>aucune sorte fondée sur le handicap. À cette fin, ils s</w:t>
      </w:r>
      <w:r w:rsidR="00033E85">
        <w:rPr>
          <w:rFonts w:cs="Arial"/>
          <w:bCs/>
          <w:szCs w:val="28"/>
        </w:rPr>
        <w:t>’</w:t>
      </w:r>
      <w:r w:rsidR="008F3364" w:rsidRPr="008F3364">
        <w:rPr>
          <w:rFonts w:cs="Arial"/>
          <w:bCs/>
          <w:szCs w:val="28"/>
        </w:rPr>
        <w:t>engagent à</w:t>
      </w:r>
      <w:r w:rsidR="008F4792">
        <w:rPr>
          <w:rFonts w:cs="Arial"/>
          <w:bCs/>
          <w:szCs w:val="28"/>
        </w:rPr>
        <w:t> </w:t>
      </w:r>
      <w:r w:rsidR="008F3364" w:rsidRPr="008F3364">
        <w:rPr>
          <w:rFonts w:cs="Arial"/>
          <w:bCs/>
          <w:szCs w:val="28"/>
        </w:rPr>
        <w:t>:</w:t>
      </w:r>
    </w:p>
    <w:p w14:paraId="50C852B3" w14:textId="07E02854" w:rsidR="008F3364" w:rsidRDefault="008F3364" w:rsidP="00AA1182">
      <w:pPr>
        <w:spacing w:line="276" w:lineRule="auto"/>
        <w:rPr>
          <w:rFonts w:cs="Arial"/>
          <w:bCs/>
          <w:szCs w:val="28"/>
        </w:rPr>
      </w:pPr>
      <w:r>
        <w:rPr>
          <w:rFonts w:cs="Arial"/>
          <w:bCs/>
          <w:szCs w:val="28"/>
        </w:rPr>
        <w:t>…</w:t>
      </w:r>
    </w:p>
    <w:p w14:paraId="3D77CFD2" w14:textId="7F898BBD" w:rsidR="008F3364" w:rsidRPr="008B53F1" w:rsidRDefault="00607928" w:rsidP="00AA1182">
      <w:pPr>
        <w:pStyle w:val="ListParagraph"/>
        <w:numPr>
          <w:ilvl w:val="0"/>
          <w:numId w:val="13"/>
        </w:numPr>
        <w:spacing w:line="276" w:lineRule="auto"/>
        <w:rPr>
          <w:rFonts w:cstheme="majorBidi"/>
          <w:szCs w:val="28"/>
        </w:rPr>
      </w:pPr>
      <w:r w:rsidRPr="00607928">
        <w:rPr>
          <w:rFonts w:cstheme="majorBidi"/>
          <w:szCs w:val="28"/>
        </w:rPr>
        <w:t>Entreprendre ou encourager la recherche et le développement de biens, services, équipements et installations de conception universelle, selon la définition qui en est donnée à l</w:t>
      </w:r>
      <w:r w:rsidR="00033E85">
        <w:rPr>
          <w:rFonts w:cstheme="majorBidi"/>
          <w:szCs w:val="28"/>
        </w:rPr>
        <w:t>’</w:t>
      </w:r>
      <w:r w:rsidRPr="00607928">
        <w:rPr>
          <w:rFonts w:cstheme="majorBidi"/>
          <w:szCs w:val="28"/>
        </w:rPr>
        <w:t>article</w:t>
      </w:r>
      <w:r w:rsidR="0047325E">
        <w:rPr>
          <w:rFonts w:cstheme="majorBidi"/>
          <w:szCs w:val="28"/>
        </w:rPr>
        <w:t> </w:t>
      </w:r>
      <w:r w:rsidRPr="00607928">
        <w:rPr>
          <w:rFonts w:cstheme="majorBidi"/>
          <w:szCs w:val="28"/>
        </w:rPr>
        <w:t>2 de la présente Convention, qui devraient nécessiter le minimum possible d</w:t>
      </w:r>
      <w:r w:rsidR="00033E85">
        <w:rPr>
          <w:rFonts w:cstheme="majorBidi"/>
          <w:szCs w:val="28"/>
        </w:rPr>
        <w:t>’</w:t>
      </w:r>
      <w:r w:rsidRPr="00607928">
        <w:rPr>
          <w:rFonts w:cstheme="majorBidi"/>
          <w:szCs w:val="28"/>
        </w:rPr>
        <w:t>adaptation et de frais pour répondre aux besoins spécifiques des personnes handicapées, encourager l</w:t>
      </w:r>
      <w:r w:rsidR="00033E85">
        <w:rPr>
          <w:rFonts w:cstheme="majorBidi"/>
          <w:szCs w:val="28"/>
        </w:rPr>
        <w:t>’</w:t>
      </w:r>
      <w:r w:rsidRPr="00607928">
        <w:rPr>
          <w:rFonts w:cstheme="majorBidi"/>
          <w:szCs w:val="28"/>
        </w:rPr>
        <w:t>offre et l</w:t>
      </w:r>
      <w:r w:rsidR="00033E85">
        <w:rPr>
          <w:rFonts w:cstheme="majorBidi"/>
          <w:szCs w:val="28"/>
        </w:rPr>
        <w:t>’</w:t>
      </w:r>
      <w:r w:rsidRPr="00607928">
        <w:rPr>
          <w:rFonts w:cstheme="majorBidi"/>
          <w:szCs w:val="28"/>
        </w:rPr>
        <w:t>utilisation de ces biens, services, équipements et installations et encourager l</w:t>
      </w:r>
      <w:r w:rsidR="00033E85">
        <w:rPr>
          <w:rFonts w:cstheme="majorBidi"/>
          <w:szCs w:val="28"/>
        </w:rPr>
        <w:t>’</w:t>
      </w:r>
      <w:r w:rsidRPr="00607928">
        <w:rPr>
          <w:rFonts w:cstheme="majorBidi"/>
          <w:szCs w:val="28"/>
        </w:rPr>
        <w:t>incorporation de la conception universelle dans le développement des normes et directives</w:t>
      </w:r>
      <w:r w:rsidR="004E4B38">
        <w:rPr>
          <w:rFonts w:cstheme="majorBidi"/>
          <w:szCs w:val="28"/>
        </w:rPr>
        <w:t>;</w:t>
      </w:r>
      <w:r w:rsidR="008F4792">
        <w:rPr>
          <w:rFonts w:cstheme="majorBidi"/>
          <w:szCs w:val="28"/>
        </w:rPr>
        <w:t> </w:t>
      </w:r>
      <w:r w:rsidR="004E4B38">
        <w:rPr>
          <w:rFonts w:cstheme="majorBidi"/>
          <w:szCs w:val="28"/>
        </w:rPr>
        <w:t>»</w:t>
      </w:r>
    </w:p>
    <w:p w14:paraId="2D547961" w14:textId="7FF6D1A6" w:rsidR="001C61AB" w:rsidRDefault="00D54E63" w:rsidP="00AA1182">
      <w:pPr>
        <w:spacing w:line="276" w:lineRule="auto"/>
      </w:pPr>
      <w:r w:rsidRPr="00D54E63">
        <w:t>L’accès à la justice est un exemple évident de services gouvernementaux. À cette fin l’</w:t>
      </w:r>
      <w:r w:rsidRPr="00D54E63">
        <w:rPr>
          <w:b/>
          <w:bCs/>
        </w:rPr>
        <w:t>article</w:t>
      </w:r>
      <w:r w:rsidR="0047325E">
        <w:rPr>
          <w:b/>
          <w:bCs/>
        </w:rPr>
        <w:t> </w:t>
      </w:r>
      <w:r w:rsidRPr="00D54E63">
        <w:rPr>
          <w:b/>
          <w:bCs/>
        </w:rPr>
        <w:t xml:space="preserve">13 </w:t>
      </w:r>
      <w:r w:rsidRPr="00D54E63">
        <w:t xml:space="preserve">de Cette </w:t>
      </w:r>
      <w:r w:rsidRPr="00D54E63">
        <w:rPr>
          <w:b/>
          <w:bCs/>
        </w:rPr>
        <w:t>Convention</w:t>
      </w:r>
      <w:r w:rsidRPr="00D54E63">
        <w:t xml:space="preserve"> dispose</w:t>
      </w:r>
      <w:r w:rsidR="008F4792">
        <w:t> </w:t>
      </w:r>
      <w:r w:rsidRPr="00D54E63">
        <w:t xml:space="preserve">: </w:t>
      </w:r>
      <w:r w:rsidR="001C61AB" w:rsidRPr="001C61AB">
        <w:t xml:space="preserve"> </w:t>
      </w:r>
    </w:p>
    <w:p w14:paraId="3AB30BE6" w14:textId="59338F3F" w:rsidR="001D08F3" w:rsidRPr="00BA5BF3" w:rsidRDefault="001D08F3" w:rsidP="00AA1182">
      <w:pPr>
        <w:pStyle w:val="ListParagraph"/>
        <w:numPr>
          <w:ilvl w:val="0"/>
          <w:numId w:val="14"/>
        </w:numPr>
        <w:spacing w:line="276" w:lineRule="auto"/>
        <w:rPr>
          <w:bCs/>
        </w:rPr>
      </w:pPr>
      <w:r>
        <w:t>«</w:t>
      </w:r>
      <w:r w:rsidR="008F4792">
        <w:t> </w:t>
      </w:r>
      <w:r w:rsidR="00BA5BF3" w:rsidRPr="00BA5BF3">
        <w:t>Les États Parties assurent l</w:t>
      </w:r>
      <w:r w:rsidR="00033E85">
        <w:t>’</w:t>
      </w:r>
      <w:r w:rsidR="00BA5BF3" w:rsidRPr="00BA5BF3">
        <w:t>accès effectif des personnes handicapées à la justice, sur la base de l</w:t>
      </w:r>
      <w:r w:rsidR="00033E85">
        <w:t>’</w:t>
      </w:r>
      <w:r w:rsidR="00BA5BF3" w:rsidRPr="00BA5BF3">
        <w:t>égalité avec les autres, y compris par le biais d</w:t>
      </w:r>
      <w:r w:rsidR="00033E85">
        <w:t>’</w:t>
      </w:r>
      <w:r w:rsidR="00BA5BF3" w:rsidRPr="00BA5BF3">
        <w:t>aménagements procéduraux et d</w:t>
      </w:r>
      <w:r w:rsidR="00033E85">
        <w:t>’</w:t>
      </w:r>
      <w:r w:rsidR="00BA5BF3" w:rsidRPr="00BA5BF3">
        <w:t>aménagements en fonction de l</w:t>
      </w:r>
      <w:r w:rsidR="00033E85">
        <w:t>’</w:t>
      </w:r>
      <w:r w:rsidR="00BA5BF3" w:rsidRPr="00BA5BF3">
        <w:t>âge, afin de faciliter leur participation effective, directe ou indirecte, notamment en tant que témoins, à toutes les procédures judiciaires, y compris au stade de l</w:t>
      </w:r>
      <w:r w:rsidR="00033E85">
        <w:t>’</w:t>
      </w:r>
      <w:r w:rsidR="00BA5BF3" w:rsidRPr="00BA5BF3">
        <w:t>enquête et aux autres stades préliminaires.</w:t>
      </w:r>
    </w:p>
    <w:p w14:paraId="3468EC18" w14:textId="0BA8019E" w:rsidR="00BA5BF3" w:rsidRPr="00BA5BF3" w:rsidRDefault="00BA5BF3" w:rsidP="00AA1182">
      <w:pPr>
        <w:pStyle w:val="ListParagraph"/>
        <w:numPr>
          <w:ilvl w:val="0"/>
          <w:numId w:val="14"/>
        </w:numPr>
        <w:spacing w:line="276" w:lineRule="auto"/>
        <w:rPr>
          <w:bCs/>
        </w:rPr>
      </w:pPr>
      <w:r w:rsidRPr="00BA5BF3">
        <w:rPr>
          <w:bCs/>
        </w:rPr>
        <w:t>Afin d</w:t>
      </w:r>
      <w:r w:rsidR="00033E85">
        <w:rPr>
          <w:bCs/>
        </w:rPr>
        <w:t>’</w:t>
      </w:r>
      <w:r w:rsidRPr="00BA5BF3">
        <w:rPr>
          <w:bCs/>
        </w:rPr>
        <w:t>aider à assurer l</w:t>
      </w:r>
      <w:r w:rsidR="00033E85">
        <w:rPr>
          <w:bCs/>
        </w:rPr>
        <w:t>’</w:t>
      </w:r>
      <w:r w:rsidRPr="00BA5BF3">
        <w:rPr>
          <w:bCs/>
        </w:rPr>
        <w:t>accès effectif des personnes handicapées à la justice, les États Parties favorisent une formation appropriée des personnels concourant à l</w:t>
      </w:r>
      <w:r w:rsidR="00033E85">
        <w:rPr>
          <w:bCs/>
        </w:rPr>
        <w:t>’</w:t>
      </w:r>
      <w:r w:rsidRPr="00BA5BF3">
        <w:rPr>
          <w:bCs/>
        </w:rPr>
        <w:t>administration de la justice, y compris les personnels de police et les personnels pénitentiaires.</w:t>
      </w:r>
      <w:r w:rsidR="008F4792">
        <w:rPr>
          <w:bCs/>
        </w:rPr>
        <w:t> </w:t>
      </w:r>
      <w:r>
        <w:rPr>
          <w:bCs/>
        </w:rPr>
        <w:t>»</w:t>
      </w:r>
    </w:p>
    <w:p w14:paraId="312CA283" w14:textId="5C64E577" w:rsidR="00EB1FF1" w:rsidRDefault="00306817" w:rsidP="005F1284">
      <w:pPr>
        <w:pStyle w:val="Heading4"/>
        <w:rPr>
          <w:rFonts w:eastAsia="Calibri"/>
        </w:rPr>
      </w:pPr>
      <w:r>
        <w:rPr>
          <w:rFonts w:eastAsia="Calibri"/>
        </w:rPr>
        <w:t>Au niveau national</w:t>
      </w:r>
    </w:p>
    <w:p w14:paraId="63AAF609" w14:textId="4274BA5C" w:rsidR="00BB1F2F" w:rsidRDefault="00BB1F2F" w:rsidP="00AA1182">
      <w:pPr>
        <w:spacing w:line="276" w:lineRule="auto"/>
      </w:pPr>
      <w:r>
        <w:t xml:space="preserve">La </w:t>
      </w:r>
      <w:r w:rsidRPr="00743121">
        <w:rPr>
          <w:b/>
          <w:bCs/>
        </w:rPr>
        <w:t>Charte canadienne</w:t>
      </w:r>
      <w:r>
        <w:t xml:space="preserve"> prévoit le droit à l’égalité pour tous face à la protection et au bénéfice de la loi. Autant l’accès au</w:t>
      </w:r>
      <w:r w:rsidR="005748BB">
        <w:t>x</w:t>
      </w:r>
      <w:r>
        <w:t xml:space="preserve"> service</w:t>
      </w:r>
      <w:r w:rsidR="005748BB">
        <w:t>s</w:t>
      </w:r>
      <w:r>
        <w:t xml:space="preserve"> gouvernementaux que le</w:t>
      </w:r>
      <w:r w:rsidR="009A318D">
        <w:t>s</w:t>
      </w:r>
      <w:r>
        <w:t xml:space="preserve"> service</w:t>
      </w:r>
      <w:r w:rsidR="009A318D">
        <w:t>s</w:t>
      </w:r>
      <w:r>
        <w:t xml:space="preserve"> au</w:t>
      </w:r>
      <w:r w:rsidR="009A318D">
        <w:t>x consommateurs</w:t>
      </w:r>
      <w:r>
        <w:t xml:space="preserve"> doi</w:t>
      </w:r>
      <w:r w:rsidR="009A318D">
        <w:t>ven</w:t>
      </w:r>
      <w:r>
        <w:t>t respecter cela.</w:t>
      </w:r>
      <w:r w:rsidR="00743121">
        <w:t xml:space="preserve"> </w:t>
      </w:r>
      <w:r>
        <w:t>Au niveau national, vu l’existence de deux paliers gouvernementa</w:t>
      </w:r>
      <w:r w:rsidR="000F68EB">
        <w:t>ux</w:t>
      </w:r>
      <w:r>
        <w:t xml:space="preserve"> (fédéral et provincial), les deux chartes sont applicables. Notons que la </w:t>
      </w:r>
      <w:r w:rsidRPr="00743121">
        <w:rPr>
          <w:b/>
          <w:bCs/>
        </w:rPr>
        <w:lastRenderedPageBreak/>
        <w:t>Charte canadienne</w:t>
      </w:r>
      <w:r>
        <w:t xml:space="preserve"> est applicable tant au gouvernement fédéral que gouvernement provincial.   </w:t>
      </w:r>
    </w:p>
    <w:p w14:paraId="579431D6" w14:textId="3598F8CD" w:rsidR="009662CA" w:rsidRDefault="00BB1F2F" w:rsidP="00AA1182">
      <w:pPr>
        <w:spacing w:line="276" w:lineRule="auto"/>
      </w:pPr>
      <w:r>
        <w:t>L’article</w:t>
      </w:r>
      <w:r w:rsidR="0047325E">
        <w:t> </w:t>
      </w:r>
      <w:r>
        <w:t xml:space="preserve">15 de la </w:t>
      </w:r>
      <w:r w:rsidRPr="00743121">
        <w:rPr>
          <w:b/>
          <w:bCs/>
        </w:rPr>
        <w:t>Charte canadienne</w:t>
      </w:r>
      <w:r w:rsidR="0082267B">
        <w:t xml:space="preserve">, </w:t>
      </w:r>
      <w:r w:rsidR="009F56BB">
        <w:t xml:space="preserve">qui garantit le droit à l’égalité pour tous et de bénéficier </w:t>
      </w:r>
      <w:r w:rsidR="00AF0156">
        <w:t>de</w:t>
      </w:r>
      <w:r w:rsidR="009F56BB">
        <w:t xml:space="preserve"> la protection égale de la loi énonce</w:t>
      </w:r>
      <w:r w:rsidR="008F4792">
        <w:t> </w:t>
      </w:r>
      <w:r w:rsidR="009F56BB">
        <w:t xml:space="preserve">: </w:t>
      </w:r>
    </w:p>
    <w:p w14:paraId="1136C7B9" w14:textId="1ABFCC89" w:rsidR="00BB1F2F" w:rsidRDefault="00BB1F2F" w:rsidP="00AA1182">
      <w:pPr>
        <w:spacing w:line="276" w:lineRule="auto"/>
      </w:pPr>
      <w:r>
        <w:t>«</w:t>
      </w:r>
      <w:r w:rsidR="008F4792">
        <w:t> </w:t>
      </w:r>
      <w:r w:rsidR="00E775AB">
        <w:t xml:space="preserve">(1) </w:t>
      </w:r>
      <w:r>
        <w:t>La loi ne fait acception de personne et s’applique également à tous, et tous ont droit à la même protection et au même bénéfice de la loi, indépendamment de toute discrimination, notamment des discriminations fondées sur la race, l’origine nationale ou ethnique, la couleur, la religion, le sexe, l’âge ou les déficiences mentales ou physiques.</w:t>
      </w:r>
      <w:r w:rsidR="008F4792">
        <w:t> </w:t>
      </w:r>
      <w:r>
        <w:t>»</w:t>
      </w:r>
    </w:p>
    <w:p w14:paraId="7D98B116" w14:textId="7659042F" w:rsidR="00BB1F2F" w:rsidRDefault="00BB1F2F" w:rsidP="00AA1182">
      <w:pPr>
        <w:spacing w:line="276" w:lineRule="auto"/>
      </w:pPr>
      <w:r>
        <w:t xml:space="preserve">À son tour, la </w:t>
      </w:r>
      <w:r w:rsidR="00020773" w:rsidRPr="00020773">
        <w:rPr>
          <w:b/>
          <w:bCs/>
        </w:rPr>
        <w:t>Charte québécoise</w:t>
      </w:r>
      <w:r>
        <w:t xml:space="preserve"> dans son </w:t>
      </w:r>
      <w:r w:rsidRPr="009662CA">
        <w:rPr>
          <w:b/>
          <w:bCs/>
        </w:rPr>
        <w:t>article</w:t>
      </w:r>
      <w:r w:rsidR="0047325E">
        <w:rPr>
          <w:b/>
          <w:bCs/>
        </w:rPr>
        <w:t> </w:t>
      </w:r>
      <w:r w:rsidRPr="009662CA">
        <w:rPr>
          <w:b/>
          <w:bCs/>
        </w:rPr>
        <w:t>10</w:t>
      </w:r>
      <w:r>
        <w:t xml:space="preserve"> garantit l’égalité des droits pour toutes les personnes. Ainsi les services gouvernementaux offerts au public doivent être par les accommodements raisonnables, si nécessaire, accessible</w:t>
      </w:r>
      <w:r w:rsidR="009F24E2">
        <w:t>s</w:t>
      </w:r>
      <w:r>
        <w:t xml:space="preserve"> aux personnes handicapées. Dans son </w:t>
      </w:r>
      <w:r w:rsidRPr="00885B39">
        <w:rPr>
          <w:b/>
          <w:bCs/>
        </w:rPr>
        <w:t>article</w:t>
      </w:r>
      <w:r w:rsidR="0047325E">
        <w:rPr>
          <w:b/>
          <w:bCs/>
        </w:rPr>
        <w:t> </w:t>
      </w:r>
      <w:r w:rsidRPr="00885B39">
        <w:rPr>
          <w:b/>
          <w:bCs/>
        </w:rPr>
        <w:t>12</w:t>
      </w:r>
      <w:r>
        <w:t xml:space="preserve"> la </w:t>
      </w:r>
      <w:r w:rsidR="00020773" w:rsidRPr="00020773">
        <w:rPr>
          <w:b/>
          <w:bCs/>
        </w:rPr>
        <w:t>Charte québécoise</w:t>
      </w:r>
      <w:r>
        <w:t xml:space="preserve"> offre aussi une protection concernant la discrimination au niveau des services qui peuvent être offerts au public</w:t>
      </w:r>
      <w:r w:rsidR="00885B39">
        <w:t xml:space="preserve"> : </w:t>
      </w:r>
      <w:r>
        <w:t xml:space="preserve"> </w:t>
      </w:r>
    </w:p>
    <w:p w14:paraId="65CE91A0" w14:textId="42CF6166" w:rsidR="00BB1F2F" w:rsidRDefault="00BB1F2F" w:rsidP="00AA1182">
      <w:pPr>
        <w:pStyle w:val="ListParagraph"/>
        <w:numPr>
          <w:ilvl w:val="0"/>
          <w:numId w:val="16"/>
        </w:numPr>
        <w:spacing w:line="276" w:lineRule="auto"/>
        <w:ind w:left="810" w:hanging="450"/>
      </w:pPr>
      <w:r>
        <w:t>«</w:t>
      </w:r>
      <w:r w:rsidR="008F4792">
        <w:t> </w:t>
      </w:r>
      <w:r>
        <w:t>Nul ne peut, par discrimination, refuser de conclure un acte juridique ayant pour objet des biens ou des services ordinairement offerts au public.</w:t>
      </w:r>
      <w:r w:rsidR="008F4792">
        <w:t> </w:t>
      </w:r>
      <w:r>
        <w:t xml:space="preserve">» </w:t>
      </w:r>
    </w:p>
    <w:p w14:paraId="25C3E564" w14:textId="256D3410" w:rsidR="00BB1F2F" w:rsidRDefault="00BB1F2F" w:rsidP="00AA1182">
      <w:pPr>
        <w:spacing w:line="276" w:lineRule="auto"/>
      </w:pPr>
      <w:r>
        <w:t>D’autres lois peuvent être évoquées, tel</w:t>
      </w:r>
      <w:r w:rsidR="009F24E2">
        <w:t>les</w:t>
      </w:r>
      <w:r>
        <w:t xml:space="preserve"> la </w:t>
      </w:r>
      <w:hyperlink r:id="rId15" w:history="1">
        <w:r w:rsidRPr="00F34655">
          <w:rPr>
            <w:rStyle w:val="Hyperlink"/>
            <w:b/>
            <w:bCs/>
          </w:rPr>
          <w:t>Loi sur la protection du consommateur</w:t>
        </w:r>
      </w:hyperlink>
      <w:r w:rsidR="00F246AF">
        <w:rPr>
          <w:b/>
          <w:bCs/>
        </w:rPr>
        <w:t xml:space="preserve">, </w:t>
      </w:r>
      <w:r>
        <w:t xml:space="preserve">qui prévoit justement des dispositions, ainsi que la </w:t>
      </w:r>
      <w:hyperlink r:id="rId16" w:history="1">
        <w:r w:rsidRPr="00144702">
          <w:rPr>
            <w:rStyle w:val="Hyperlink"/>
            <w:b/>
            <w:bCs/>
          </w:rPr>
          <w:t>Loi Canadienne sur l’accessibilité</w:t>
        </w:r>
      </w:hyperlink>
      <w:r>
        <w:t>, par exemple.</w:t>
      </w:r>
    </w:p>
    <w:p w14:paraId="3DBD676E" w14:textId="5ADD6949" w:rsidR="008B4953" w:rsidRDefault="008B4953" w:rsidP="00AA1182">
      <w:pPr>
        <w:spacing w:line="276" w:lineRule="auto"/>
      </w:pPr>
    </w:p>
    <w:p w14:paraId="7B1CEDDB" w14:textId="54C5D7A3" w:rsidR="00896134" w:rsidRDefault="00107A80" w:rsidP="005F1284">
      <w:pPr>
        <w:pStyle w:val="Heading3"/>
      </w:pPr>
      <w:bookmarkStart w:id="9" w:name="_Toc79748256"/>
      <w:r>
        <w:t>Comment puis-je faire respecter mes droits en termes de s</w:t>
      </w:r>
      <w:r w:rsidR="00072310">
        <w:t>ervices gouvernementaux et aux consommateur</w:t>
      </w:r>
      <w:r w:rsidR="000B1D16">
        <w:t>s</w:t>
      </w:r>
      <w:r w:rsidR="00BA6B06">
        <w:rPr>
          <w:rFonts w:ascii="Arial" w:hAnsi="Arial" w:cs="Arial"/>
        </w:rPr>
        <w:t> </w:t>
      </w:r>
      <w:r w:rsidR="00F23D25">
        <w:t>?</w:t>
      </w:r>
      <w:bookmarkEnd w:id="9"/>
    </w:p>
    <w:p w14:paraId="311810EC" w14:textId="2762B940" w:rsidR="00F23D25" w:rsidRPr="00A360E9" w:rsidRDefault="00F23D25" w:rsidP="00AA1182">
      <w:pPr>
        <w:spacing w:line="276" w:lineRule="auto"/>
      </w:pPr>
      <w:r w:rsidRPr="00E158E1">
        <w:t xml:space="preserve">Veuillez noter que </w:t>
      </w:r>
      <w:r w:rsidRPr="00A360E9">
        <w:t xml:space="preserve">des </w:t>
      </w:r>
      <w:hyperlink r:id="rId17" w:history="1">
        <w:r w:rsidRPr="00A360E9">
          <w:rPr>
            <w:rStyle w:val="Hyperlink"/>
            <w:b/>
            <w:bCs/>
          </w:rPr>
          <w:t>recours généraux</w:t>
        </w:r>
      </w:hyperlink>
      <w:r w:rsidRPr="00A360E9">
        <w:t xml:space="preserve"> existent également. Vous pouvez les consulter dans le </w:t>
      </w:r>
      <w:hyperlink r:id="rId18" w:history="1">
        <w:r w:rsidRPr="00A360E9">
          <w:rPr>
            <w:rStyle w:val="Hyperlink"/>
            <w:b/>
            <w:bCs/>
          </w:rPr>
          <w:t>document</w:t>
        </w:r>
      </w:hyperlink>
      <w:r w:rsidRPr="00A360E9">
        <w:t xml:space="preserve"> prévu à cet effet. </w:t>
      </w:r>
    </w:p>
    <w:p w14:paraId="034DFC6A" w14:textId="0EA8EC6C" w:rsidR="00F23D25" w:rsidRPr="00E158E1" w:rsidRDefault="00F23D25" w:rsidP="00AA1182">
      <w:pPr>
        <w:spacing w:line="276" w:lineRule="auto"/>
      </w:pPr>
      <w:r w:rsidRPr="00A360E9">
        <w:lastRenderedPageBreak/>
        <w:t xml:space="preserve">Il existe </w:t>
      </w:r>
      <w:r w:rsidR="00072310" w:rsidRPr="00A360E9">
        <w:rPr>
          <w:b/>
          <w:bCs/>
        </w:rPr>
        <w:t>trois</w:t>
      </w:r>
      <w:r w:rsidRPr="00A360E9">
        <w:t xml:space="preserve"> recours possibles qui sont spécifiques</w:t>
      </w:r>
      <w:r w:rsidRPr="00E158E1">
        <w:t xml:space="preserve"> </w:t>
      </w:r>
      <w:r w:rsidR="00072310">
        <w:t>aux services gouvernementaux et aux consommateurs</w:t>
      </w:r>
      <w:r w:rsidRPr="00E158E1">
        <w:t>.</w:t>
      </w:r>
    </w:p>
    <w:p w14:paraId="3DF87660" w14:textId="4891DFD2" w:rsidR="00E1623C" w:rsidRDefault="007304B9" w:rsidP="005F1284">
      <w:pPr>
        <w:pStyle w:val="Heading4"/>
      </w:pPr>
      <w:r>
        <w:t xml:space="preserve">1. </w:t>
      </w:r>
      <w:r w:rsidR="00523EC2">
        <w:t>Office de la protection du consommateur</w:t>
      </w:r>
    </w:p>
    <w:p w14:paraId="1F444625" w14:textId="76400BA1" w:rsidR="00523EC2" w:rsidRDefault="00237591" w:rsidP="00AA1182">
      <w:pPr>
        <w:spacing w:line="276" w:lineRule="auto"/>
      </w:pPr>
      <w:r w:rsidRPr="00237591">
        <w:t xml:space="preserve">La </w:t>
      </w:r>
      <w:r w:rsidRPr="00237591">
        <w:rPr>
          <w:b/>
          <w:bCs/>
        </w:rPr>
        <w:t>Loi sur la protection du consommateur</w:t>
      </w:r>
      <w:r w:rsidRPr="00237591">
        <w:t xml:space="preserve"> (LPC) protège toutes interactions que vous pouvez avoir avec un commerçant. Si ce dernier failli une de ses obligations, vous serez en mesure de porter plainte à l’</w:t>
      </w:r>
      <w:hyperlink r:id="rId19" w:history="1">
        <w:r w:rsidRPr="00237591">
          <w:rPr>
            <w:rStyle w:val="Hyperlink"/>
            <w:b/>
            <w:bCs/>
          </w:rPr>
          <w:t>Office de la protection du consommateur</w:t>
        </w:r>
      </w:hyperlink>
      <w:r w:rsidR="00F072D8">
        <w:rPr>
          <w:b/>
          <w:bCs/>
        </w:rPr>
        <w:t xml:space="preserve"> </w:t>
      </w:r>
      <w:r w:rsidR="00F072D8">
        <w:t>(OPC)</w:t>
      </w:r>
      <w:r w:rsidRPr="00237591">
        <w:t>. Il s’agit simplement de contacter l’Office afin qu’un agent puisse vous accompagner dans le processus.</w:t>
      </w:r>
      <w:r>
        <w:t xml:space="preserve"> Pour plus de détails sur ce recours, vous pouvez consulter le </w:t>
      </w:r>
      <w:hyperlink r:id="rId20" w:history="1">
        <w:r w:rsidRPr="000B1D16">
          <w:rPr>
            <w:rStyle w:val="Hyperlink"/>
            <w:b/>
            <w:bCs/>
          </w:rPr>
          <w:t>site web d</w:t>
        </w:r>
        <w:r w:rsidR="00F072D8" w:rsidRPr="000B1D16">
          <w:rPr>
            <w:rStyle w:val="Hyperlink"/>
            <w:b/>
            <w:bCs/>
          </w:rPr>
          <w:t>e l’OPC</w:t>
        </w:r>
      </w:hyperlink>
      <w:r w:rsidR="00F072D8">
        <w:t xml:space="preserve">. </w:t>
      </w:r>
    </w:p>
    <w:p w14:paraId="120B2071" w14:textId="20F910B8" w:rsidR="00591D86" w:rsidRDefault="00591D86" w:rsidP="005F1284">
      <w:pPr>
        <w:pStyle w:val="Heading4"/>
      </w:pPr>
      <w:r>
        <w:t>2. Protecteur du citoyen</w:t>
      </w:r>
    </w:p>
    <w:p w14:paraId="2C3EE4F2" w14:textId="2A253EE3" w:rsidR="00591D86" w:rsidRDefault="00591D86" w:rsidP="00AA1182">
      <w:pPr>
        <w:spacing w:line="276" w:lineRule="auto"/>
      </w:pPr>
      <w:r>
        <w:t xml:space="preserve">Il sera possible de déposer une plainte au </w:t>
      </w:r>
      <w:r w:rsidRPr="006D79AE">
        <w:rPr>
          <w:b/>
          <w:bCs/>
        </w:rPr>
        <w:t>Protecteur du citoyen</w:t>
      </w:r>
      <w:r>
        <w:t xml:space="preserve">, si vous avez un différend avec les services gouvernementaux. </w:t>
      </w:r>
      <w:r w:rsidR="006D79AE">
        <w:t xml:space="preserve">Un </w:t>
      </w:r>
      <w:hyperlink r:id="rId21" w:history="1">
        <w:r w:rsidR="006D79AE" w:rsidRPr="00341692">
          <w:rPr>
            <w:rStyle w:val="Hyperlink"/>
            <w:b/>
            <w:bCs/>
          </w:rPr>
          <w:t>formulaire est disponible en ligne</w:t>
        </w:r>
      </w:hyperlink>
      <w:r w:rsidR="006D79AE">
        <w:t xml:space="preserve"> afin de dé</w:t>
      </w:r>
      <w:r w:rsidR="00341692">
        <w:t>poser une plainte.</w:t>
      </w:r>
      <w:r>
        <w:t xml:space="preserve">  </w:t>
      </w:r>
    </w:p>
    <w:p w14:paraId="0E03320C" w14:textId="75B65D45" w:rsidR="00591D86" w:rsidRDefault="00591D86" w:rsidP="00AA1182">
      <w:pPr>
        <w:spacing w:line="276" w:lineRule="auto"/>
      </w:pPr>
      <w:r>
        <w:t>Après le dépôt de la plainte, il</w:t>
      </w:r>
      <w:r w:rsidR="00341692">
        <w:t xml:space="preserve"> y</w:t>
      </w:r>
      <w:r>
        <w:t xml:space="preserve"> aura une enquête qui procédera concernant la situation. Et par la suite, le </w:t>
      </w:r>
      <w:r w:rsidRPr="0060424E">
        <w:rPr>
          <w:b/>
          <w:bCs/>
        </w:rPr>
        <w:t>Protecteur du citoyen</w:t>
      </w:r>
      <w:r>
        <w:t xml:space="preserve"> sera en mesure de déposer une recommandation et d’en assurer l’implantation et l’amélioration.</w:t>
      </w:r>
    </w:p>
    <w:p w14:paraId="7025122E" w14:textId="67089E67" w:rsidR="0060424E" w:rsidRDefault="0060424E" w:rsidP="005F1284">
      <w:pPr>
        <w:pStyle w:val="Heading4"/>
      </w:pPr>
      <w:r>
        <w:t xml:space="preserve">3. </w:t>
      </w:r>
      <w:r w:rsidR="00765CD8" w:rsidRPr="00765CD8">
        <w:t>Ombudsman de Montréal</w:t>
      </w:r>
    </w:p>
    <w:p w14:paraId="50B1D29F" w14:textId="5CC6719C" w:rsidR="00765CD8" w:rsidRDefault="00242E80" w:rsidP="00AA1182">
      <w:pPr>
        <w:spacing w:line="276" w:lineRule="auto"/>
      </w:pPr>
      <w:r>
        <w:t xml:space="preserve">En cas de dernier recours, alors que vous avez tout essayé mais que la situation ne change pas, il sera possible de déposer une plainte à l’Ombudsman de la ville de Montréal </w:t>
      </w:r>
      <w:r w:rsidRPr="00242E80">
        <w:rPr>
          <w:b/>
          <w:bCs/>
        </w:rPr>
        <w:t>uniquement pour des plaintes portant sur les gestionnaires et employés de la ville de Montréal ou ses mandataires</w:t>
      </w:r>
      <w:r>
        <w:t>. Plus de détails au sujet du processus à suivre dans le dépôt d’une plainte à l’</w:t>
      </w:r>
      <w:r w:rsidR="00534B17">
        <w:t xml:space="preserve">Ombudsman de Montréal sont présentés sur leur </w:t>
      </w:r>
      <w:hyperlink r:id="rId22" w:history="1">
        <w:r w:rsidR="00534B17" w:rsidRPr="00534B17">
          <w:rPr>
            <w:rStyle w:val="Hyperlink"/>
            <w:b/>
            <w:bCs/>
          </w:rPr>
          <w:t>site web</w:t>
        </w:r>
      </w:hyperlink>
      <w:r w:rsidR="00534B17">
        <w:t xml:space="preserve">. </w:t>
      </w:r>
    </w:p>
    <w:p w14:paraId="4401524D" w14:textId="77777777" w:rsidR="00534B17" w:rsidRPr="00765CD8" w:rsidRDefault="00534B17" w:rsidP="00AA1182">
      <w:pPr>
        <w:spacing w:line="276" w:lineRule="auto"/>
      </w:pPr>
    </w:p>
    <w:p w14:paraId="6571D5AA" w14:textId="1AB43F3F" w:rsidR="00DD064C" w:rsidRDefault="00DD064C" w:rsidP="005F1284">
      <w:pPr>
        <w:pStyle w:val="Heading2"/>
      </w:pPr>
      <w:bookmarkStart w:id="10" w:name="_Toc79748257"/>
      <w:r>
        <w:lastRenderedPageBreak/>
        <w:t>Questions spécifiques</w:t>
      </w:r>
      <w:bookmarkEnd w:id="10"/>
    </w:p>
    <w:p w14:paraId="23BDAA3D" w14:textId="5841612D" w:rsidR="0066237F" w:rsidRDefault="00E07441" w:rsidP="00AA1182">
      <w:pPr>
        <w:spacing w:line="276" w:lineRule="auto"/>
        <w:rPr>
          <w:szCs w:val="28"/>
        </w:rPr>
      </w:pPr>
      <w:r w:rsidRPr="00E158E1">
        <w:rPr>
          <w:szCs w:val="28"/>
        </w:rPr>
        <w:t>Cette section présente des situations spécifiques ou certains droits peuvent être bafoués en termes</w:t>
      </w:r>
      <w:r>
        <w:rPr>
          <w:szCs w:val="28"/>
        </w:rPr>
        <w:t xml:space="preserve"> de </w:t>
      </w:r>
      <w:r w:rsidR="000B1D16">
        <w:rPr>
          <w:b/>
          <w:bCs/>
          <w:szCs w:val="28"/>
        </w:rPr>
        <w:t>services gouvernementaux et aux consommateurs</w:t>
      </w:r>
      <w:r>
        <w:rPr>
          <w:szCs w:val="28"/>
        </w:rPr>
        <w:t xml:space="preserve">. </w:t>
      </w:r>
    </w:p>
    <w:p w14:paraId="5F39EB4A" w14:textId="4C89477F" w:rsidR="006654F6" w:rsidRDefault="006654F6" w:rsidP="00AA1182">
      <w:pPr>
        <w:spacing w:line="276" w:lineRule="auto"/>
        <w:rPr>
          <w:szCs w:val="28"/>
        </w:rPr>
      </w:pPr>
    </w:p>
    <w:p w14:paraId="686895AC" w14:textId="0EC5DEEF" w:rsidR="00C911F0" w:rsidRDefault="001B7317" w:rsidP="005F1284">
      <w:pPr>
        <w:pStyle w:val="Heading3"/>
      </w:pPr>
      <w:bookmarkStart w:id="11" w:name="_Toc79748258"/>
      <w:r>
        <w:t xml:space="preserve">En raison de ma </w:t>
      </w:r>
      <w:r w:rsidR="00020773">
        <w:t>limitation visuelle</w:t>
      </w:r>
      <w:r>
        <w:t xml:space="preserve">, j’ai du mal à naviguer sur les sites </w:t>
      </w:r>
      <w:r w:rsidR="00033E85">
        <w:t>web</w:t>
      </w:r>
      <w:r>
        <w:t xml:space="preserve"> du gouvernement et accéder aux services en ligne. Qu’est-ce que je peux faire</w:t>
      </w:r>
      <w:r w:rsidR="008F4792">
        <w:rPr>
          <w:rFonts w:ascii="Arial" w:hAnsi="Arial" w:cs="Arial"/>
        </w:rPr>
        <w:t> </w:t>
      </w:r>
      <w:r>
        <w:t>?</w:t>
      </w:r>
      <w:bookmarkEnd w:id="11"/>
      <w:r>
        <w:t xml:space="preserve"> </w:t>
      </w:r>
    </w:p>
    <w:p w14:paraId="2AA0251B" w14:textId="78DD2509" w:rsidR="001B7317" w:rsidRDefault="001B7317" w:rsidP="00AA1182">
      <w:pPr>
        <w:spacing w:line="276" w:lineRule="auto"/>
      </w:pPr>
      <w:r>
        <w:t xml:space="preserve">Il existe au Canada et au Québec des </w:t>
      </w:r>
      <w:r w:rsidRPr="001B7317">
        <w:rPr>
          <w:b/>
          <w:bCs/>
        </w:rPr>
        <w:t>normes garantissant l’accessibilité</w:t>
      </w:r>
      <w:r>
        <w:t xml:space="preserve"> aux sites web gouvernementaux.</w:t>
      </w:r>
    </w:p>
    <w:p w14:paraId="5CBC58BF" w14:textId="51796F89" w:rsidR="001B7317" w:rsidRDefault="001B7317" w:rsidP="00AA1182">
      <w:pPr>
        <w:spacing w:line="276" w:lineRule="auto"/>
      </w:pPr>
      <w:r>
        <w:t>Pour ce qui est du gouvernement québécois, les ministères du gouvernement font partie d’une énumération d’organismes publics située à l’</w:t>
      </w:r>
      <w:r w:rsidRPr="00C911F0">
        <w:rPr>
          <w:b/>
          <w:bCs/>
        </w:rPr>
        <w:t>article</w:t>
      </w:r>
      <w:r w:rsidR="0047325E">
        <w:rPr>
          <w:b/>
          <w:bCs/>
        </w:rPr>
        <w:t> </w:t>
      </w:r>
      <w:r w:rsidRPr="00C911F0">
        <w:rPr>
          <w:b/>
          <w:bCs/>
        </w:rPr>
        <w:t xml:space="preserve">2 </w:t>
      </w:r>
      <w:r>
        <w:t xml:space="preserve">de la </w:t>
      </w:r>
      <w:r w:rsidRPr="00C911F0">
        <w:rPr>
          <w:b/>
          <w:bCs/>
        </w:rPr>
        <w:t>Loi sur la gouvernance et la gestion des ressources informationnelles des organismes publics et des entreprises du gouvernement</w:t>
      </w:r>
      <w:r>
        <w:t xml:space="preserve">. Ces organismes sont assujettis au </w:t>
      </w:r>
      <w:hyperlink r:id="rId23" w:history="1">
        <w:r w:rsidRPr="00EA369F">
          <w:rPr>
            <w:rStyle w:val="Hyperlink"/>
            <w:b/>
            <w:bCs/>
          </w:rPr>
          <w:t>Standard sur l’accessibilité des sites Web</w:t>
        </w:r>
      </w:hyperlink>
      <w:r>
        <w:t xml:space="preserve"> (SGQRI</w:t>
      </w:r>
      <w:r w:rsidR="0047325E">
        <w:t> </w:t>
      </w:r>
      <w:r>
        <w:t>008 2</w:t>
      </w:r>
      <w:r w:rsidR="0047325E">
        <w:t>.</w:t>
      </w:r>
      <w:r>
        <w:t xml:space="preserve">0). Ce standard impose différentes normes qui permettent à toute personne, incluant celles ayant un handicap, d’accéder aux sites web de ces organismes, et ce, sans obstacle. Si vous </w:t>
      </w:r>
      <w:proofErr w:type="gramStart"/>
      <w:r>
        <w:t>avez</w:t>
      </w:r>
      <w:proofErr w:type="gramEnd"/>
      <w:r>
        <w:t xml:space="preserve"> des difficultés pour accéder à un site du gouvernement québécois, ce dernier indique qu’il faut lui suggérer par courriel les améliorations nécessaires à l’accessibilité du site, à l’adresse </w:t>
      </w:r>
      <w:hyperlink r:id="rId24" w:history="1">
        <w:r w:rsidRPr="00EA369F">
          <w:rPr>
            <w:rStyle w:val="Hyperlink"/>
            <w:b/>
            <w:bCs/>
          </w:rPr>
          <w:t>info@quebec.ca</w:t>
        </w:r>
      </w:hyperlink>
      <w:r>
        <w:t xml:space="preserve">. Vous pouvez aussi obtenir de l’aide pour naviguer dans le site en appelant un des numéros énumérés sur leur liste de contacts ou en envoyant un courriel par </w:t>
      </w:r>
      <w:hyperlink r:id="rId25" w:history="1">
        <w:r w:rsidRPr="004B0935">
          <w:rPr>
            <w:rStyle w:val="Hyperlink"/>
            <w:b/>
            <w:bCs/>
          </w:rPr>
          <w:t>formulaire disponible sur le</w:t>
        </w:r>
        <w:r w:rsidR="004B0935" w:rsidRPr="004B0935">
          <w:rPr>
            <w:rStyle w:val="Hyperlink"/>
            <w:b/>
            <w:bCs/>
          </w:rPr>
          <w:t>ur</w:t>
        </w:r>
        <w:r w:rsidRPr="004B0935">
          <w:rPr>
            <w:rStyle w:val="Hyperlink"/>
            <w:b/>
            <w:bCs/>
          </w:rPr>
          <w:t xml:space="preserve"> site</w:t>
        </w:r>
        <w:r w:rsidR="004B0935" w:rsidRPr="004B0935">
          <w:rPr>
            <w:rStyle w:val="Hyperlink"/>
            <w:b/>
            <w:bCs/>
          </w:rPr>
          <w:t xml:space="preserve"> web</w:t>
        </w:r>
      </w:hyperlink>
      <w:r w:rsidR="004B0935">
        <w:t>.</w:t>
      </w:r>
    </w:p>
    <w:p w14:paraId="045FE852" w14:textId="4735F9D6" w:rsidR="00C837BC" w:rsidRDefault="001B7317" w:rsidP="00AA1182">
      <w:pPr>
        <w:spacing w:line="276" w:lineRule="auto"/>
      </w:pPr>
      <w:r>
        <w:t xml:space="preserve">Le gouvernement canadien, quant à lui, est aussi assujetti à sa propre </w:t>
      </w:r>
      <w:hyperlink r:id="rId26" w:history="1">
        <w:r w:rsidRPr="008565E0">
          <w:rPr>
            <w:rStyle w:val="Hyperlink"/>
            <w:b/>
            <w:bCs/>
          </w:rPr>
          <w:t>Norme sur l’accessibilité des sites Web</w:t>
        </w:r>
      </w:hyperlink>
      <w:r>
        <w:t xml:space="preserve"> qui fait en sorte que ses sites </w:t>
      </w:r>
      <w:r>
        <w:lastRenderedPageBreak/>
        <w:t xml:space="preserve">Web sont censés être accessibles aux personnes ayant un handicap. Si vous éprouvez des difficultés quant à la navigation du site, vous pouvez obtenir de l’aide téléphonique au </w:t>
      </w:r>
      <w:r w:rsidRPr="008565E0">
        <w:rPr>
          <w:b/>
          <w:bCs/>
        </w:rPr>
        <w:t>1</w:t>
      </w:r>
      <w:r w:rsidR="005F1284">
        <w:rPr>
          <w:b/>
          <w:bCs/>
        </w:rPr>
        <w:t xml:space="preserve"> </w:t>
      </w:r>
      <w:r w:rsidRPr="008565E0">
        <w:rPr>
          <w:b/>
          <w:bCs/>
        </w:rPr>
        <w:t>800</w:t>
      </w:r>
      <w:r w:rsidR="005F1284">
        <w:rPr>
          <w:b/>
          <w:bCs/>
        </w:rPr>
        <w:t xml:space="preserve"> </w:t>
      </w:r>
      <w:r w:rsidRPr="008565E0">
        <w:rPr>
          <w:b/>
          <w:bCs/>
        </w:rPr>
        <w:t>622-6232</w:t>
      </w:r>
      <w:r>
        <w:t>.</w:t>
      </w:r>
    </w:p>
    <w:p w14:paraId="278B47AC" w14:textId="16E156FF" w:rsidR="00FA7665" w:rsidRDefault="00FA7665" w:rsidP="00AA1182">
      <w:pPr>
        <w:spacing w:line="276" w:lineRule="auto"/>
      </w:pPr>
    </w:p>
    <w:p w14:paraId="7714FFCD" w14:textId="4CC71132" w:rsidR="00CD548A" w:rsidRPr="00FE143F" w:rsidRDefault="00CD548A" w:rsidP="005F1284">
      <w:pPr>
        <w:pStyle w:val="Heading3"/>
      </w:pPr>
      <w:bookmarkStart w:id="12" w:name="_Toc79748259"/>
      <w:r w:rsidRPr="00FE143F">
        <w:t>Lorsque j’ai essay</w:t>
      </w:r>
      <w:r>
        <w:t>é</w:t>
      </w:r>
      <w:r w:rsidRPr="00FE143F">
        <w:t xml:space="preserve"> de remplir un formulaire papier dans un bureau du gouvernement, j’ai demandé de l’aide à un employé du gouvernement. Ils ont dit qu</w:t>
      </w:r>
      <w:proofErr w:type="gramStart"/>
      <w:r w:rsidRPr="00FE143F">
        <w:t>’«</w:t>
      </w:r>
      <w:proofErr w:type="gramEnd"/>
      <w:r w:rsidR="008F4792">
        <w:rPr>
          <w:rFonts w:ascii="Arial" w:hAnsi="Arial" w:cs="Arial"/>
        </w:rPr>
        <w:t> </w:t>
      </w:r>
      <w:r w:rsidRPr="00FE143F">
        <w:t>en raison de problèmes de responsabilité</w:t>
      </w:r>
      <w:r w:rsidR="008F4792">
        <w:rPr>
          <w:rFonts w:ascii="Arial" w:hAnsi="Arial" w:cs="Arial"/>
        </w:rPr>
        <w:t> </w:t>
      </w:r>
      <w:r w:rsidRPr="00FE143F">
        <w:t>», ils ne pouvaient pas m’aider. Qu’est-ce que je peux faire</w:t>
      </w:r>
      <w:r w:rsidR="008F4792">
        <w:rPr>
          <w:rFonts w:ascii="Arial" w:hAnsi="Arial" w:cs="Arial"/>
        </w:rPr>
        <w:t> </w:t>
      </w:r>
      <w:r w:rsidRPr="00FE143F">
        <w:t>?</w:t>
      </w:r>
      <w:bookmarkEnd w:id="12"/>
      <w:r w:rsidRPr="00FE143F">
        <w:t xml:space="preserve"> </w:t>
      </w:r>
    </w:p>
    <w:p w14:paraId="3757362F" w14:textId="7E134ED7" w:rsidR="00CD548A" w:rsidRPr="00CD548A" w:rsidRDefault="00CD548A" w:rsidP="00AA1182">
      <w:pPr>
        <w:spacing w:line="276" w:lineRule="auto"/>
      </w:pPr>
      <w:r w:rsidRPr="00CD548A">
        <w:t>Bien qu’un(e) employé (e) peut refuser de vous aider à remplir un formulaire s’il ou elle a une raison valable, les établissements du gouvernement ont l’</w:t>
      </w:r>
      <w:r w:rsidRPr="00E9021C">
        <w:rPr>
          <w:b/>
          <w:bCs/>
        </w:rPr>
        <w:t>obligation de l’accommodement raisonnable</w:t>
      </w:r>
      <w:r w:rsidRPr="00CD548A">
        <w:t xml:space="preserve">, notamment en </w:t>
      </w:r>
      <w:r w:rsidRPr="00E9021C">
        <w:rPr>
          <w:b/>
          <w:bCs/>
        </w:rPr>
        <w:t>fournissant des</w:t>
      </w:r>
      <w:r w:rsidRPr="00CD548A">
        <w:t xml:space="preserve"> </w:t>
      </w:r>
      <w:r w:rsidRPr="00E9021C">
        <w:rPr>
          <w:b/>
          <w:bCs/>
        </w:rPr>
        <w:t>documents dans un format accessible</w:t>
      </w:r>
      <w:r w:rsidRPr="00CD548A">
        <w:t xml:space="preserve"> pour les personnes non</w:t>
      </w:r>
      <w:r w:rsidR="00C443EF">
        <w:t xml:space="preserve"> </w:t>
      </w:r>
      <w:r w:rsidRPr="00CD548A">
        <w:t>voyantes ou malvoyantes (</w:t>
      </w:r>
      <w:r w:rsidR="00020773" w:rsidRPr="00020773">
        <w:rPr>
          <w:b/>
          <w:bCs/>
        </w:rPr>
        <w:t>Charte québécoise</w:t>
      </w:r>
      <w:r w:rsidR="00D26C63">
        <w:t>,</w:t>
      </w:r>
      <w:r w:rsidRPr="00CD548A">
        <w:t xml:space="preserve"> art</w:t>
      </w:r>
      <w:r w:rsidR="00D26C63">
        <w:t>icle</w:t>
      </w:r>
      <w:r w:rsidR="0047325E">
        <w:t> </w:t>
      </w:r>
      <w:r w:rsidRPr="00CD548A">
        <w:t xml:space="preserve">10; </w:t>
      </w:r>
      <w:bookmarkStart w:id="13" w:name="_Hlk71800191"/>
      <w:r w:rsidRPr="00486E10">
        <w:rPr>
          <w:b/>
          <w:bCs/>
        </w:rPr>
        <w:t>Loi sur l’accès aux documents des organismes publics et sur la protection des renseignements personnels</w:t>
      </w:r>
      <w:r w:rsidR="00486E10">
        <w:t>,</w:t>
      </w:r>
      <w:r w:rsidRPr="00CD548A">
        <w:t xml:space="preserve"> art</w:t>
      </w:r>
      <w:r w:rsidR="00D26C63">
        <w:t>icle</w:t>
      </w:r>
      <w:r w:rsidRPr="00CD548A">
        <w:t>s</w:t>
      </w:r>
      <w:bookmarkEnd w:id="13"/>
      <w:r w:rsidRPr="00CD548A">
        <w:t>. 10, 84). Informez les employé(es) de votre handicap et collaborez de bonne foi avec eux.</w:t>
      </w:r>
      <w:r w:rsidR="00486E10">
        <w:t xml:space="preserve"> </w:t>
      </w:r>
      <w:r w:rsidRPr="00CD548A">
        <w:t xml:space="preserve">Il est aussi possible d’obtenir des </w:t>
      </w:r>
      <w:r w:rsidRPr="00486E10">
        <w:rPr>
          <w:b/>
          <w:bCs/>
        </w:rPr>
        <w:t xml:space="preserve">documents </w:t>
      </w:r>
      <w:r w:rsidR="004770D5">
        <w:rPr>
          <w:b/>
          <w:bCs/>
        </w:rPr>
        <w:t>dans un</w:t>
      </w:r>
      <w:r w:rsidRPr="00486E10">
        <w:rPr>
          <w:b/>
          <w:bCs/>
        </w:rPr>
        <w:t xml:space="preserve"> format accessible</w:t>
      </w:r>
      <w:r w:rsidRPr="00CD548A">
        <w:t xml:space="preserve">, dont en braille, sur les sites Internet des organismes gouvernementaux. </w:t>
      </w:r>
    </w:p>
    <w:p w14:paraId="11540144" w14:textId="22298C23" w:rsidR="003A2083" w:rsidRDefault="00CD548A" w:rsidP="00AA1182">
      <w:pPr>
        <w:spacing w:line="276" w:lineRule="auto"/>
      </w:pPr>
      <w:r w:rsidRPr="00CD548A">
        <w:t>Une discrimination fondée sur le handicap pourrait résulter d’un refus d’accommodement selon l’article</w:t>
      </w:r>
      <w:r w:rsidR="0047325E">
        <w:t> </w:t>
      </w:r>
      <w:r w:rsidRPr="00CD548A">
        <w:t>15 de la Charte canadienne</w:t>
      </w:r>
      <w:r w:rsidR="004770D5">
        <w:t xml:space="preserve"> des</w:t>
      </w:r>
      <w:r w:rsidRPr="00CD548A">
        <w:t xml:space="preserve"> droits et libertés, l’article</w:t>
      </w:r>
      <w:r w:rsidR="0047325E">
        <w:t> </w:t>
      </w:r>
      <w:r w:rsidRPr="00CD548A">
        <w:t xml:space="preserve">10 de la </w:t>
      </w:r>
      <w:r w:rsidR="00020773" w:rsidRPr="00020773">
        <w:rPr>
          <w:b/>
        </w:rPr>
        <w:t>Charte québécoise</w:t>
      </w:r>
      <w:r w:rsidRPr="00CD548A">
        <w:t xml:space="preserve"> des droits et libertés de la personne et des articles</w:t>
      </w:r>
      <w:r w:rsidR="0047325E">
        <w:t> </w:t>
      </w:r>
      <w:r w:rsidRPr="00CD548A">
        <w:t>10 et 84 de la Loi sur l’accès aux documents des organismes publics et sur la protection des renseignements personnels.</w:t>
      </w:r>
      <w:r w:rsidR="004715E2">
        <w:t xml:space="preserve"> </w:t>
      </w:r>
      <w:r w:rsidR="001118E2">
        <w:t xml:space="preserve">La </w:t>
      </w:r>
      <w:r w:rsidR="001118E2">
        <w:lastRenderedPageBreak/>
        <w:t xml:space="preserve">jurisprudence peut être un bon outil de référence dans le cas échéant, avec </w:t>
      </w:r>
      <w:r w:rsidR="003A2083">
        <w:t>c</w:t>
      </w:r>
      <w:r w:rsidR="001118E2">
        <w:t>es affaires</w:t>
      </w:r>
      <w:r w:rsidR="003A2083">
        <w:t> :</w:t>
      </w:r>
    </w:p>
    <w:p w14:paraId="7DF68AF3" w14:textId="03BD0811" w:rsidR="003A2083" w:rsidRDefault="00EE4E2D" w:rsidP="00AA1182">
      <w:pPr>
        <w:pStyle w:val="ListParagraph"/>
        <w:numPr>
          <w:ilvl w:val="0"/>
          <w:numId w:val="18"/>
        </w:numPr>
        <w:spacing w:line="276" w:lineRule="auto"/>
      </w:pPr>
      <w:hyperlink r:id="rId27" w:history="1">
        <w:proofErr w:type="spellStart"/>
        <w:r w:rsidR="00D071A3" w:rsidRPr="003A2083">
          <w:rPr>
            <w:rStyle w:val="Hyperlink"/>
            <w:b/>
            <w:bCs/>
          </w:rPr>
          <w:t>Eldridge</w:t>
        </w:r>
        <w:proofErr w:type="spellEnd"/>
        <w:r w:rsidR="00D071A3" w:rsidRPr="003A2083">
          <w:rPr>
            <w:rStyle w:val="Hyperlink"/>
            <w:b/>
            <w:bCs/>
          </w:rPr>
          <w:t xml:space="preserve"> </w:t>
        </w:r>
        <w:r w:rsidR="00D071A3" w:rsidRPr="00D071A3">
          <w:rPr>
            <w:rStyle w:val="Hyperlink"/>
          </w:rPr>
          <w:t>contre</w:t>
        </w:r>
        <w:r w:rsidR="00D071A3" w:rsidRPr="003A2083">
          <w:rPr>
            <w:rStyle w:val="Hyperlink"/>
            <w:b/>
            <w:bCs/>
          </w:rPr>
          <w:t xml:space="preserve"> Colombie-Britannique (Procureur général), </w:t>
        </w:r>
        <w:r w:rsidR="00D071A3" w:rsidRPr="00D071A3">
          <w:rPr>
            <w:rStyle w:val="Hyperlink"/>
          </w:rPr>
          <w:t>[1997] 3</w:t>
        </w:r>
        <w:r w:rsidR="008F4792">
          <w:rPr>
            <w:rStyle w:val="Hyperlink"/>
          </w:rPr>
          <w:t> </w:t>
        </w:r>
        <w:r w:rsidR="00D071A3" w:rsidRPr="00D071A3">
          <w:rPr>
            <w:rStyle w:val="Hyperlink"/>
          </w:rPr>
          <w:t>R.C.S.</w:t>
        </w:r>
        <w:r w:rsidR="0047325E">
          <w:rPr>
            <w:rStyle w:val="Hyperlink"/>
          </w:rPr>
          <w:t> </w:t>
        </w:r>
        <w:r w:rsidR="00D071A3" w:rsidRPr="00D071A3">
          <w:rPr>
            <w:rStyle w:val="Hyperlink"/>
          </w:rPr>
          <w:t>624</w:t>
        </w:r>
      </w:hyperlink>
      <w:r w:rsidR="00D071A3">
        <w:t xml:space="preserve"> </w:t>
      </w:r>
    </w:p>
    <w:p w14:paraId="27C68A1C" w14:textId="2799B7A5" w:rsidR="00CD548A" w:rsidRPr="00CD548A" w:rsidRDefault="00EE4E2D" w:rsidP="00AA1182">
      <w:pPr>
        <w:pStyle w:val="ListParagraph"/>
        <w:numPr>
          <w:ilvl w:val="0"/>
          <w:numId w:val="18"/>
        </w:numPr>
        <w:spacing w:line="276" w:lineRule="auto"/>
      </w:pPr>
      <w:hyperlink r:id="rId28" w:history="1">
        <w:r w:rsidR="00651AEF" w:rsidRPr="003A2083">
          <w:rPr>
            <w:rStyle w:val="Hyperlink"/>
            <w:b/>
            <w:bCs/>
          </w:rPr>
          <w:t>Association des sourds du Canada</w:t>
        </w:r>
        <w:r w:rsidR="00651AEF" w:rsidRPr="00651AEF">
          <w:rPr>
            <w:rStyle w:val="Hyperlink"/>
          </w:rPr>
          <w:t xml:space="preserve"> contre </w:t>
        </w:r>
        <w:r w:rsidR="00651AEF" w:rsidRPr="003A2083">
          <w:rPr>
            <w:rStyle w:val="Hyperlink"/>
            <w:b/>
            <w:bCs/>
          </w:rPr>
          <w:t>Canada</w:t>
        </w:r>
        <w:r w:rsidR="00651AEF" w:rsidRPr="00651AEF">
          <w:rPr>
            <w:rStyle w:val="Hyperlink"/>
          </w:rPr>
          <w:t>, 2006 CF 971, [2007] 2</w:t>
        </w:r>
        <w:r w:rsidR="008F4792">
          <w:rPr>
            <w:rStyle w:val="Hyperlink"/>
          </w:rPr>
          <w:t> </w:t>
        </w:r>
        <w:r w:rsidR="00651AEF" w:rsidRPr="00651AEF">
          <w:rPr>
            <w:rStyle w:val="Hyperlink"/>
          </w:rPr>
          <w:t>RCF</w:t>
        </w:r>
        <w:r w:rsidR="0047325E">
          <w:rPr>
            <w:rStyle w:val="Hyperlink"/>
          </w:rPr>
          <w:t> </w:t>
        </w:r>
        <w:r w:rsidR="00651AEF" w:rsidRPr="00651AEF">
          <w:rPr>
            <w:rStyle w:val="Hyperlink"/>
          </w:rPr>
          <w:t>323</w:t>
        </w:r>
      </w:hyperlink>
    </w:p>
    <w:p w14:paraId="5DD32A22" w14:textId="09044EB8" w:rsidR="00923706" w:rsidRDefault="00923706" w:rsidP="00AA1182">
      <w:pPr>
        <w:spacing w:line="276" w:lineRule="auto"/>
      </w:pPr>
    </w:p>
    <w:p w14:paraId="3898259D" w14:textId="68F28255" w:rsidR="005F5CF5" w:rsidRDefault="005F5CF5" w:rsidP="005F1284">
      <w:pPr>
        <w:pStyle w:val="Heading3"/>
      </w:pPr>
      <w:bookmarkStart w:id="14" w:name="_Toc79748260"/>
      <w:r>
        <w:t>Parfois, une entreprise me demande de fournir une pi</w:t>
      </w:r>
      <w:r w:rsidR="008A2CBB">
        <w:t>è</w:t>
      </w:r>
      <w:r>
        <w:t xml:space="preserve">ce d’identité valide </w:t>
      </w:r>
      <w:r w:rsidR="008A2CBB">
        <w:t>é</w:t>
      </w:r>
      <w:r>
        <w:t>mise par le gouvernement. Je n’ai pas de permis de conduire et je ne veux pas porter mon passeport. Qu’est-ce que je peux faire</w:t>
      </w:r>
      <w:r w:rsidR="008F4792">
        <w:rPr>
          <w:rFonts w:ascii="Arial" w:hAnsi="Arial" w:cs="Arial"/>
        </w:rPr>
        <w:t> </w:t>
      </w:r>
      <w:r>
        <w:t>?</w:t>
      </w:r>
      <w:bookmarkEnd w:id="14"/>
      <w:r>
        <w:t xml:space="preserve"> </w:t>
      </w:r>
    </w:p>
    <w:p w14:paraId="3FE7C357" w14:textId="7F41CF7B" w:rsidR="005F5CF5" w:rsidRDefault="005F5CF5" w:rsidP="00AA1182">
      <w:pPr>
        <w:spacing w:line="276" w:lineRule="auto"/>
      </w:pPr>
      <w:r>
        <w:t xml:space="preserve">Le gouvernement </w:t>
      </w:r>
      <w:r w:rsidR="001E3ED5">
        <w:t>q</w:t>
      </w:r>
      <w:r>
        <w:t xml:space="preserve">uébécois n’offre pas de pièce d’identité spécifique pour les personnes n’ayant pas de permis de conduire. Cependant, votre </w:t>
      </w:r>
      <w:r w:rsidRPr="008A2CBB">
        <w:rPr>
          <w:b/>
          <w:bCs/>
        </w:rPr>
        <w:t>carte d’assurance maladie</w:t>
      </w:r>
      <w:r>
        <w:t xml:space="preserve">, puisqu’elle contient votre photo, est un document d’identité valide et accepté par le gouvernement québécois que vous pouvez donc utiliser comme tel. Cependant, nous constatons dans certains organismes exigent deux pièces d’identité avec photo. </w:t>
      </w:r>
    </w:p>
    <w:p w14:paraId="054C9FB2" w14:textId="27D4A8FA" w:rsidR="00923706" w:rsidRDefault="005F5CF5" w:rsidP="00AA1182">
      <w:pPr>
        <w:spacing w:line="276" w:lineRule="auto"/>
      </w:pPr>
      <w:r>
        <w:t xml:space="preserve">De plus, vous avez l’option de vous procurer une </w:t>
      </w:r>
      <w:hyperlink r:id="rId29" w:history="1">
        <w:r w:rsidRPr="00B42A9B">
          <w:rPr>
            <w:rStyle w:val="Hyperlink"/>
            <w:b/>
            <w:bCs/>
          </w:rPr>
          <w:t>carte INCA</w:t>
        </w:r>
      </w:hyperlink>
      <w:r>
        <w:t xml:space="preserve">, qui n’est pas une pièce d’identité officielle, mais qui vous donne accès à certains privilèges incluant des rabais et des services offerts par les gouvernements et différentes entreprises, comme, des services d’accessibilité additionnels offerts par certaines organisations. Pour faire une demande de </w:t>
      </w:r>
      <w:r w:rsidRPr="00B42A9B">
        <w:rPr>
          <w:b/>
          <w:bCs/>
        </w:rPr>
        <w:t>carte INCA</w:t>
      </w:r>
      <w:r>
        <w:t xml:space="preserve">, vous pouvez appeler le </w:t>
      </w:r>
      <w:r w:rsidRPr="00B42A9B">
        <w:rPr>
          <w:b/>
          <w:bCs/>
        </w:rPr>
        <w:t>1-844-887-8572</w:t>
      </w:r>
      <w:r>
        <w:t xml:space="preserve"> ou écrire un courriel à</w:t>
      </w:r>
      <w:r w:rsidR="00B42A9B">
        <w:t xml:space="preserve"> </w:t>
      </w:r>
      <w:hyperlink r:id="rId30" w:history="1">
        <w:r w:rsidRPr="00B42A9B">
          <w:rPr>
            <w:rStyle w:val="Hyperlink"/>
            <w:b/>
            <w:bCs/>
          </w:rPr>
          <w:t>info@vlrehab.ca</w:t>
        </w:r>
      </w:hyperlink>
      <w:r>
        <w:t>.</w:t>
      </w:r>
    </w:p>
    <w:p w14:paraId="246358A9" w14:textId="124D1D12" w:rsidR="00040D9C" w:rsidRDefault="00040D9C" w:rsidP="00AA1182">
      <w:pPr>
        <w:spacing w:line="276" w:lineRule="auto"/>
      </w:pPr>
    </w:p>
    <w:p w14:paraId="28ACFEE7" w14:textId="2D47B437" w:rsidR="00040D9C" w:rsidRPr="00FE143F" w:rsidRDefault="00040D9C" w:rsidP="005F1284">
      <w:pPr>
        <w:pStyle w:val="Heading3"/>
      </w:pPr>
      <w:bookmarkStart w:id="15" w:name="_Toc79748261"/>
      <w:r w:rsidRPr="00FE143F">
        <w:lastRenderedPageBreak/>
        <w:t>Lorsque je fais du shopping, je rencontre souvent des files d’attente inaccessibles</w:t>
      </w:r>
      <w:r w:rsidR="008F4792">
        <w:t> </w:t>
      </w:r>
      <w:r w:rsidRPr="00FE143F">
        <w:t>: par exemple, un système</w:t>
      </w:r>
      <w:r w:rsidR="00156B18">
        <w:t xml:space="preserve"> de numéros</w:t>
      </w:r>
      <w:r w:rsidRPr="00FE143F">
        <w:t xml:space="preserve"> «</w:t>
      </w:r>
      <w:r w:rsidR="008F4792">
        <w:rPr>
          <w:rFonts w:ascii="Arial" w:hAnsi="Arial" w:cs="Arial"/>
        </w:rPr>
        <w:t> </w:t>
      </w:r>
      <w:proofErr w:type="spellStart"/>
      <w:r w:rsidRPr="00FE143F">
        <w:t>take</w:t>
      </w:r>
      <w:proofErr w:type="spellEnd"/>
      <w:r w:rsidRPr="00FE143F">
        <w:t>-a-</w:t>
      </w:r>
      <w:proofErr w:type="spellStart"/>
      <w:r w:rsidRPr="00FE143F">
        <w:t>number</w:t>
      </w:r>
      <w:proofErr w:type="spellEnd"/>
      <w:r w:rsidR="008F4792">
        <w:rPr>
          <w:rFonts w:ascii="Arial" w:hAnsi="Arial" w:cs="Arial"/>
        </w:rPr>
        <w:t> </w:t>
      </w:r>
      <w:r w:rsidRPr="00FE143F">
        <w:t>» ou des files d’attente marquées à l’aide de poteaux reliés par des cordes ou des courroies (ceux-ci sont souvent utilisés dans les aéroports et appelés «</w:t>
      </w:r>
      <w:r w:rsidR="008F4792">
        <w:rPr>
          <w:rFonts w:ascii="Arial" w:hAnsi="Arial" w:cs="Arial"/>
        </w:rPr>
        <w:t> </w:t>
      </w:r>
      <w:proofErr w:type="spellStart"/>
      <w:r w:rsidRPr="00FE143F">
        <w:t>stanchions</w:t>
      </w:r>
      <w:proofErr w:type="spellEnd"/>
      <w:r w:rsidR="008F4792">
        <w:rPr>
          <w:rFonts w:ascii="Arial" w:hAnsi="Arial" w:cs="Arial"/>
        </w:rPr>
        <w:t> </w:t>
      </w:r>
      <w:r w:rsidRPr="00FE143F">
        <w:t>»). Qu’est-ce que je peux faire</w:t>
      </w:r>
      <w:r w:rsidR="008F4792">
        <w:rPr>
          <w:rFonts w:ascii="Arial" w:hAnsi="Arial" w:cs="Arial"/>
        </w:rPr>
        <w:t> </w:t>
      </w:r>
      <w:r w:rsidRPr="00FE143F">
        <w:t>?</w:t>
      </w:r>
      <w:bookmarkEnd w:id="15"/>
      <w:r w:rsidRPr="00FE143F">
        <w:t xml:space="preserve"> </w:t>
      </w:r>
    </w:p>
    <w:p w14:paraId="0FBBAFAC" w14:textId="27974A08" w:rsidR="00040D9C" w:rsidRPr="00FE143F" w:rsidRDefault="00040D9C" w:rsidP="00AA1182">
      <w:pPr>
        <w:spacing w:line="276" w:lineRule="auto"/>
        <w:rPr>
          <w:rFonts w:cs="Arial"/>
          <w:szCs w:val="28"/>
        </w:rPr>
      </w:pPr>
      <w:r w:rsidRPr="00FE143F">
        <w:rPr>
          <w:rFonts w:cs="Arial"/>
          <w:szCs w:val="28"/>
        </w:rPr>
        <w:t>«</w:t>
      </w:r>
      <w:r w:rsidR="008F4792">
        <w:rPr>
          <w:rFonts w:cs="Arial"/>
          <w:szCs w:val="28"/>
        </w:rPr>
        <w:t> </w:t>
      </w:r>
      <w:r w:rsidRPr="00FE143F">
        <w:rPr>
          <w:rFonts w:cs="Arial"/>
          <w:szCs w:val="28"/>
        </w:rPr>
        <w:t>La différence de traitement [qu’interdit la Charte] peut […] résulter du maintien d’une condition habituelle d’accès à un bien ou à un service qui s’avère impossible ou plus difficile à remplir pour les membres d’un groupe protégé par la Charte [à son article</w:t>
      </w:r>
      <w:r w:rsidR="0047325E">
        <w:rPr>
          <w:rFonts w:cs="Arial"/>
          <w:szCs w:val="28"/>
        </w:rPr>
        <w:t> </w:t>
      </w:r>
      <w:r w:rsidRPr="00FE143F">
        <w:rPr>
          <w:rFonts w:cs="Arial"/>
          <w:szCs w:val="28"/>
        </w:rPr>
        <w:t>15]</w:t>
      </w:r>
      <w:r w:rsidR="008F4792">
        <w:rPr>
          <w:rFonts w:cs="Arial"/>
          <w:szCs w:val="28"/>
        </w:rPr>
        <w:t> </w:t>
      </w:r>
      <w:r w:rsidRPr="00FE143F">
        <w:rPr>
          <w:rFonts w:cs="Arial"/>
          <w:szCs w:val="28"/>
        </w:rPr>
        <w:t>»</w:t>
      </w:r>
      <w:r w:rsidRPr="00FE143F">
        <w:rPr>
          <w:rStyle w:val="FootnoteReference"/>
          <w:rFonts w:cs="Arial"/>
          <w:szCs w:val="28"/>
        </w:rPr>
        <w:footnoteReference w:id="2"/>
      </w:r>
    </w:p>
    <w:p w14:paraId="2E4F2577" w14:textId="118ED1AA" w:rsidR="00040D9C" w:rsidRPr="00FE143F" w:rsidRDefault="00040D9C" w:rsidP="00AA1182">
      <w:pPr>
        <w:spacing w:line="276" w:lineRule="auto"/>
        <w:rPr>
          <w:rFonts w:cs="Arial"/>
          <w:szCs w:val="28"/>
        </w:rPr>
      </w:pPr>
      <w:r w:rsidRPr="00FE143F">
        <w:rPr>
          <w:rFonts w:cs="Arial"/>
          <w:szCs w:val="28"/>
        </w:rPr>
        <w:t>Si un système de file d’attente rend l’accès à un bien ou à un service</w:t>
      </w:r>
      <w:r w:rsidR="006F6F1B">
        <w:rPr>
          <w:rFonts w:cs="Arial"/>
          <w:szCs w:val="28"/>
        </w:rPr>
        <w:t xml:space="preserve"> est </w:t>
      </w:r>
      <w:r w:rsidRPr="00FE143F">
        <w:rPr>
          <w:rFonts w:cs="Arial"/>
          <w:szCs w:val="28"/>
        </w:rPr>
        <w:t xml:space="preserve">impossible ou plus difficile en raison d’un handicap, l’établissement ou l’institution a une </w:t>
      </w:r>
      <w:r w:rsidRPr="00F60DF4">
        <w:rPr>
          <w:rFonts w:cs="Arial"/>
          <w:b/>
          <w:bCs/>
          <w:szCs w:val="28"/>
        </w:rPr>
        <w:t>obligation d’accommodement raisonnable</w:t>
      </w:r>
      <w:r w:rsidRPr="00FE143F">
        <w:rPr>
          <w:rFonts w:cs="Arial"/>
          <w:szCs w:val="28"/>
        </w:rPr>
        <w:t xml:space="preserve"> que vous êtes </w:t>
      </w:r>
      <w:r w:rsidRPr="00F60DF4">
        <w:rPr>
          <w:rFonts w:cs="Arial"/>
          <w:b/>
          <w:bCs/>
          <w:szCs w:val="28"/>
        </w:rPr>
        <w:t>en droit d’exiger</w:t>
      </w:r>
      <w:r w:rsidRPr="00FE143F">
        <w:rPr>
          <w:rFonts w:cs="Arial"/>
          <w:szCs w:val="28"/>
        </w:rPr>
        <w:t>. Ceci n’oblige pas nécessairement l’élimination du système inaccessible si cela impos</w:t>
      </w:r>
      <w:r w:rsidR="001E3ED5">
        <w:rPr>
          <w:rFonts w:cs="Arial"/>
          <w:szCs w:val="28"/>
        </w:rPr>
        <w:t>er</w:t>
      </w:r>
      <w:r w:rsidRPr="00FE143F">
        <w:rPr>
          <w:rFonts w:cs="Arial"/>
          <w:szCs w:val="28"/>
        </w:rPr>
        <w:t>ait une contrainte excessive sur l’établissement ou l’institution. Tout de même, un effort délibéré de leur part doit être fait.</w:t>
      </w:r>
    </w:p>
    <w:p w14:paraId="29876360" w14:textId="3A76CAC0" w:rsidR="004B5884" w:rsidRDefault="00040D9C" w:rsidP="00AA1182">
      <w:pPr>
        <w:spacing w:line="276" w:lineRule="auto"/>
        <w:rPr>
          <w:rFonts w:cs="Arial"/>
          <w:szCs w:val="28"/>
        </w:rPr>
      </w:pPr>
      <w:r w:rsidRPr="00FE143F">
        <w:rPr>
          <w:rFonts w:cs="Arial"/>
          <w:szCs w:val="28"/>
        </w:rPr>
        <w:t>Si vous faite</w:t>
      </w:r>
      <w:r w:rsidR="00181D7A">
        <w:rPr>
          <w:rFonts w:cs="Arial"/>
          <w:szCs w:val="28"/>
        </w:rPr>
        <w:t>s</w:t>
      </w:r>
      <w:r w:rsidRPr="00FE143F">
        <w:rPr>
          <w:rFonts w:cs="Arial"/>
          <w:szCs w:val="28"/>
        </w:rPr>
        <w:t xml:space="preserve"> une demande d’accommodement raisonnable dans ce genre de situation, et que celle-ci vous est refusée sans effort ou justification, </w:t>
      </w:r>
      <w:r w:rsidRPr="00FE143F">
        <w:rPr>
          <w:rFonts w:cs="Arial"/>
          <w:szCs w:val="28"/>
        </w:rPr>
        <w:lastRenderedPageBreak/>
        <w:t xml:space="preserve">vous pouvez faire une plainte auprès de la </w:t>
      </w:r>
      <w:r w:rsidRPr="00B34E87">
        <w:rPr>
          <w:rFonts w:cs="Arial"/>
          <w:b/>
          <w:bCs/>
          <w:szCs w:val="28"/>
        </w:rPr>
        <w:t>C</w:t>
      </w:r>
      <w:r w:rsidR="000F4B21" w:rsidRPr="00B34E87">
        <w:rPr>
          <w:rFonts w:cs="Arial"/>
          <w:b/>
          <w:bCs/>
          <w:szCs w:val="28"/>
        </w:rPr>
        <w:t>ommission des droits de la personne et de</w:t>
      </w:r>
      <w:r w:rsidR="00C22EE0">
        <w:rPr>
          <w:rFonts w:cs="Arial"/>
          <w:b/>
          <w:bCs/>
          <w:szCs w:val="28"/>
        </w:rPr>
        <w:t>s droits de</w:t>
      </w:r>
      <w:r w:rsidR="000F4B21" w:rsidRPr="00B34E87">
        <w:rPr>
          <w:rFonts w:cs="Arial"/>
          <w:b/>
          <w:bCs/>
          <w:szCs w:val="28"/>
        </w:rPr>
        <w:t xml:space="preserve"> la jeunesse</w:t>
      </w:r>
      <w:r w:rsidRPr="00FE143F">
        <w:rPr>
          <w:rFonts w:cs="Arial"/>
          <w:szCs w:val="28"/>
        </w:rPr>
        <w:t>.</w:t>
      </w:r>
    </w:p>
    <w:p w14:paraId="495B20B8" w14:textId="0D23377C" w:rsidR="00104F2B" w:rsidRDefault="00104F2B" w:rsidP="00AA1182">
      <w:pPr>
        <w:spacing w:line="276" w:lineRule="auto"/>
        <w:rPr>
          <w:rFonts w:cs="Arial"/>
          <w:szCs w:val="28"/>
        </w:rPr>
      </w:pPr>
    </w:p>
    <w:p w14:paraId="7F2BCA8F" w14:textId="19DAABAD" w:rsidR="00104F2B" w:rsidRPr="00104F2B" w:rsidRDefault="00104F2B" w:rsidP="005F1284">
      <w:pPr>
        <w:pStyle w:val="Heading3"/>
      </w:pPr>
      <w:bookmarkStart w:id="17" w:name="_Toc79748262"/>
      <w:r w:rsidRPr="00104F2B">
        <w:t>Lorsque je magasine, j’ai souvent de la difficulté à lire les étiquettes et à faire la différence entre les produits. Qu’est-ce que je peux faire</w:t>
      </w:r>
      <w:r w:rsidR="008F4792">
        <w:rPr>
          <w:rFonts w:ascii="Arial" w:hAnsi="Arial" w:cs="Arial"/>
        </w:rPr>
        <w:t> </w:t>
      </w:r>
      <w:r w:rsidRPr="00104F2B">
        <w:t>?</w:t>
      </w:r>
      <w:bookmarkEnd w:id="17"/>
      <w:r w:rsidRPr="00104F2B">
        <w:t xml:space="preserve"> </w:t>
      </w:r>
    </w:p>
    <w:p w14:paraId="75EDD688" w14:textId="6BCB6B78" w:rsidR="00104F2B" w:rsidRPr="00104F2B" w:rsidRDefault="00104F2B" w:rsidP="00AA1182">
      <w:pPr>
        <w:spacing w:line="276" w:lineRule="auto"/>
      </w:pPr>
      <w:r w:rsidRPr="00104F2B">
        <w:t xml:space="preserve">Les étiquettes des produits de consommation doivent respecter la </w:t>
      </w:r>
      <w:hyperlink r:id="rId31" w:history="1">
        <w:r w:rsidR="007901C8" w:rsidRPr="00352292">
          <w:rPr>
            <w:rStyle w:val="Hyperlink"/>
            <w:b/>
            <w:bCs/>
          </w:rPr>
          <w:t>L</w:t>
        </w:r>
        <w:r w:rsidRPr="00352292">
          <w:rPr>
            <w:rStyle w:val="Hyperlink"/>
            <w:b/>
            <w:bCs/>
          </w:rPr>
          <w:t>oi sur l’emballage et l’étiquetage des produits de consommation</w:t>
        </w:r>
      </w:hyperlink>
      <w:r w:rsidRPr="00104F2B">
        <w:t xml:space="preserve">. Ceux-ci ne contiennent pas de normes visant l’accessibilité aux personnes malvoyantes. Les magasins n’ont donc </w:t>
      </w:r>
      <w:r w:rsidRPr="00352292">
        <w:rPr>
          <w:b/>
          <w:bCs/>
        </w:rPr>
        <w:t>aucune obligation législative quant à l’accessibilité de leurs étiquetages</w:t>
      </w:r>
      <w:r w:rsidRPr="00104F2B">
        <w:t xml:space="preserve"> par rapport aux personnes malvoyantes.</w:t>
      </w:r>
    </w:p>
    <w:p w14:paraId="1B145A4E" w14:textId="20E6BD72" w:rsidR="00104F2B" w:rsidRDefault="00104F2B" w:rsidP="00AA1182">
      <w:pPr>
        <w:spacing w:line="276" w:lineRule="auto"/>
      </w:pPr>
      <w:r w:rsidRPr="00104F2B">
        <w:t xml:space="preserve">Tout de même, si l’incapacité de lire les étiquettes et de différencier les produits résulte d’un handicap, le fournisseur des biens à une </w:t>
      </w:r>
      <w:r w:rsidRPr="00B34E87">
        <w:rPr>
          <w:b/>
          <w:bCs/>
        </w:rPr>
        <w:t>obligation d’accommodement raisonnable</w:t>
      </w:r>
      <w:r w:rsidRPr="00104F2B">
        <w:t xml:space="preserve"> s’il en existe dans la situation en question. Bien que changer l’étiquetage des produits risque d’être une contrainte excessive, si vous pensez qu’il existe des moyens d’accommodement raisonnable, </w:t>
      </w:r>
      <w:r w:rsidRPr="00B34E87">
        <w:rPr>
          <w:b/>
          <w:bCs/>
        </w:rPr>
        <w:t>vous êtes en droit de les demander</w:t>
      </w:r>
      <w:r w:rsidRPr="00104F2B">
        <w:t>. Si vous pensez que l’entreprise fait défaut à son obligation d’accommodement raisonnable</w:t>
      </w:r>
      <w:r w:rsidR="00B34E87">
        <w:t>, v</w:t>
      </w:r>
      <w:r w:rsidRPr="00104F2B">
        <w:t xml:space="preserve">ous pouvez faire une plainte auprès de la </w:t>
      </w:r>
      <w:r w:rsidRPr="00B34E87">
        <w:rPr>
          <w:b/>
          <w:bCs/>
        </w:rPr>
        <w:t>C</w:t>
      </w:r>
      <w:r w:rsidR="00B34E87" w:rsidRPr="00B34E87">
        <w:rPr>
          <w:b/>
          <w:bCs/>
        </w:rPr>
        <w:t>ommission des droits de la personne et de</w:t>
      </w:r>
      <w:r w:rsidR="00C22EE0">
        <w:rPr>
          <w:b/>
          <w:bCs/>
        </w:rPr>
        <w:t>s droits de</w:t>
      </w:r>
      <w:r w:rsidR="00B34E87" w:rsidRPr="00B34E87">
        <w:rPr>
          <w:b/>
          <w:bCs/>
        </w:rPr>
        <w:t xml:space="preserve"> la jeunesse</w:t>
      </w:r>
      <w:r w:rsidRPr="00104F2B">
        <w:t>.</w:t>
      </w:r>
    </w:p>
    <w:p w14:paraId="54056E16" w14:textId="6F5D299E" w:rsidR="00B34E87" w:rsidRDefault="00B34E87" w:rsidP="00AA1182">
      <w:pPr>
        <w:spacing w:line="276" w:lineRule="auto"/>
      </w:pPr>
    </w:p>
    <w:p w14:paraId="508595F0" w14:textId="08D0224C" w:rsidR="008533A0" w:rsidRPr="00FE143F" w:rsidRDefault="008533A0" w:rsidP="005F1284">
      <w:pPr>
        <w:pStyle w:val="Heading3"/>
      </w:pPr>
      <w:bookmarkStart w:id="18" w:name="_Toc79748263"/>
      <w:r w:rsidRPr="00FE143F">
        <w:lastRenderedPageBreak/>
        <w:t xml:space="preserve">Lorsque je fais du </w:t>
      </w:r>
      <w:r w:rsidR="007F7C90">
        <w:t>magasinage</w:t>
      </w:r>
      <w:r w:rsidRPr="00FE143F">
        <w:t xml:space="preserve"> ou que je d</w:t>
      </w:r>
      <w:r w:rsidR="007F7C90">
        <w:t>î</w:t>
      </w:r>
      <w:r w:rsidRPr="00FE143F">
        <w:t>ne à l’extérieur, je rencontre souvent un terminal de point de vente inaccessible. Qu’est-ce que je peux faire</w:t>
      </w:r>
      <w:r w:rsidR="008F4792">
        <w:rPr>
          <w:rFonts w:ascii="Arial" w:hAnsi="Arial" w:cs="Arial"/>
        </w:rPr>
        <w:t> </w:t>
      </w:r>
      <w:r w:rsidRPr="00FE143F">
        <w:t>?</w:t>
      </w:r>
      <w:bookmarkEnd w:id="18"/>
      <w:r w:rsidRPr="00FE143F">
        <w:t xml:space="preserve"> </w:t>
      </w:r>
    </w:p>
    <w:p w14:paraId="2FD605E2" w14:textId="6A65E983" w:rsidR="008533A0" w:rsidRPr="00FE143F" w:rsidRDefault="008533A0" w:rsidP="00AA1182">
      <w:pPr>
        <w:spacing w:line="276" w:lineRule="auto"/>
      </w:pPr>
      <w:r w:rsidRPr="00FE143F">
        <w:t>Le fait qu’aucune loi n’oblige un établissement d’être accessible ne dispense pas l’établissement de son obligation d’accommodement raisonnable.</w:t>
      </w:r>
      <w:r w:rsidR="00413924">
        <w:t xml:space="preserve"> Vous pouvez consulter à cet effet l’affaire </w:t>
      </w:r>
      <w:hyperlink r:id="rId32" w:history="1">
        <w:r w:rsidR="00413924" w:rsidRPr="00910C26">
          <w:rPr>
            <w:rStyle w:val="Hyperlink"/>
            <w:b/>
            <w:bCs/>
          </w:rPr>
          <w:t>Commission des droits de la personne et des droits de la jeunesse du Québec (Gagnon)</w:t>
        </w:r>
        <w:r w:rsidR="00413924" w:rsidRPr="00910C26">
          <w:rPr>
            <w:rStyle w:val="Hyperlink"/>
          </w:rPr>
          <w:t xml:space="preserve"> contre </w:t>
        </w:r>
        <w:r w:rsidR="00413924" w:rsidRPr="00910C26">
          <w:rPr>
            <w:rStyle w:val="Hyperlink"/>
            <w:b/>
            <w:bCs/>
          </w:rPr>
          <w:t>Hôtel Villa de France</w:t>
        </w:r>
        <w:r w:rsidR="00413924" w:rsidRPr="00910C26">
          <w:rPr>
            <w:rStyle w:val="Hyperlink"/>
          </w:rPr>
          <w:t>, [1998]</w:t>
        </w:r>
        <w:r w:rsidR="00637960" w:rsidRPr="00910C26">
          <w:rPr>
            <w:rStyle w:val="Hyperlink"/>
          </w:rPr>
          <w:t xml:space="preserve">, </w:t>
        </w:r>
        <w:r w:rsidR="00910C26" w:rsidRPr="00910C26">
          <w:rPr>
            <w:rStyle w:val="Hyperlink"/>
          </w:rPr>
          <w:t>Montréal</w:t>
        </w:r>
        <w:r w:rsidR="0047325E">
          <w:rPr>
            <w:rStyle w:val="Hyperlink"/>
          </w:rPr>
          <w:t> </w:t>
        </w:r>
        <w:r w:rsidR="00910C26" w:rsidRPr="00910C26">
          <w:rPr>
            <w:rStyle w:val="Hyperlink"/>
          </w:rPr>
          <w:t>500-53-000073-971, J.E.</w:t>
        </w:r>
        <w:r w:rsidR="0047325E">
          <w:rPr>
            <w:rStyle w:val="Hyperlink"/>
          </w:rPr>
          <w:t> </w:t>
        </w:r>
        <w:r w:rsidR="00910C26" w:rsidRPr="00910C26">
          <w:rPr>
            <w:rStyle w:val="Hyperlink"/>
          </w:rPr>
          <w:t>98-796 (T.D.P.Q.)</w:t>
        </w:r>
      </w:hyperlink>
      <w:r w:rsidR="00910C26">
        <w:t>.</w:t>
      </w:r>
    </w:p>
    <w:p w14:paraId="40AC85F2" w14:textId="6AE6FF5E" w:rsidR="008533A0" w:rsidRPr="00FE143F" w:rsidRDefault="008533A0" w:rsidP="00AA1182">
      <w:pPr>
        <w:spacing w:line="276" w:lineRule="auto"/>
      </w:pPr>
      <w:r w:rsidRPr="00FE143F">
        <w:t>«</w:t>
      </w:r>
      <w:r w:rsidR="008F4792">
        <w:t> </w:t>
      </w:r>
      <w:r w:rsidRPr="00FE143F">
        <w:t>La différence de traitement [qu’interdit la Charte] peut […] résulter du maintien d’une condition habituelle d’accès à un bien ou à un service qui s’avère impossible ou plus difficile à remplir pour les membres d’un groupe</w:t>
      </w:r>
      <w:r w:rsidR="00341B1F">
        <w:t xml:space="preserve"> </w:t>
      </w:r>
      <w:r w:rsidRPr="00FE143F">
        <w:t>protégé par la Charte,</w:t>
      </w:r>
      <w:r w:rsidR="008F4792">
        <w:t> </w:t>
      </w:r>
      <w:r w:rsidRPr="00FE143F">
        <w:t>» tel un point de vente inaccessible</w:t>
      </w:r>
      <w:r w:rsidRPr="00FE143F">
        <w:rPr>
          <w:rStyle w:val="FootnoteReference"/>
          <w:rFonts w:cs="Arial"/>
          <w:szCs w:val="28"/>
        </w:rPr>
        <w:footnoteReference w:id="3"/>
      </w:r>
      <w:r w:rsidRPr="00FE143F">
        <w:t xml:space="preserve">. L’établissement a donc une </w:t>
      </w:r>
      <w:r w:rsidRPr="006B70A7">
        <w:rPr>
          <w:b/>
        </w:rPr>
        <w:t>obligation d’accommodement raisonnable</w:t>
      </w:r>
      <w:r w:rsidRPr="00FE143F">
        <w:t xml:space="preserve"> envers la personne en situation d</w:t>
      </w:r>
      <w:r w:rsidR="00181D7A">
        <w:t xml:space="preserve">e </w:t>
      </w:r>
      <w:r w:rsidRPr="00FE143F">
        <w:t>handicap qui ne peut accéder à son point de vente. «</w:t>
      </w:r>
      <w:r w:rsidR="008F4792">
        <w:t> </w:t>
      </w:r>
      <w:r w:rsidRPr="00FE143F">
        <w:t>Selon la notion d</w:t>
      </w:r>
      <w:r w:rsidR="00033E85">
        <w:t>’</w:t>
      </w:r>
      <w:r w:rsidRPr="006B70A7">
        <w:rPr>
          <w:b/>
          <w:bCs/>
        </w:rPr>
        <w:t>accommodement raisonnable</w:t>
      </w:r>
      <w:r w:rsidRPr="00FE143F">
        <w:t>, les fournisseurs de services ont l</w:t>
      </w:r>
      <w:r w:rsidR="00033E85">
        <w:t>’</w:t>
      </w:r>
      <w:r w:rsidRPr="00FE143F">
        <w:t>obligation de faire tout ce qui est raisonnablement possible pour accommoder les personnes ayant une déficience. L</w:t>
      </w:r>
      <w:r w:rsidR="00033E85">
        <w:t>’</w:t>
      </w:r>
      <w:r w:rsidRPr="00FE143F">
        <w:t>obstacle discriminatoire doit être éliminé, sauf s</w:t>
      </w:r>
      <w:r w:rsidR="00033E85">
        <w:t>’</w:t>
      </w:r>
      <w:r w:rsidRPr="00FE143F">
        <w:t>il existe un motif justifiable de le maintenir, lequel peut être établi en prouvant que l</w:t>
      </w:r>
      <w:r w:rsidR="00033E85">
        <w:t>’</w:t>
      </w:r>
      <w:r w:rsidRPr="00FE143F">
        <w:t xml:space="preserve">accommodement impose au fournisseur de services une contrainte excessive. Ce qui constitue une contrainte excessive dépend des facteurs pertinents sur le </w:t>
      </w:r>
      <w:r w:rsidRPr="00FE143F">
        <w:lastRenderedPageBreak/>
        <w:t>plan des circonstances et des mesures législatives qui régissent chaque cas</w:t>
      </w:r>
      <w:r w:rsidR="008F4792">
        <w:t> </w:t>
      </w:r>
      <w:r w:rsidRPr="00FE143F">
        <w:t>»</w:t>
      </w:r>
      <w:r w:rsidRPr="00FE143F">
        <w:rPr>
          <w:rStyle w:val="FootnoteReference"/>
          <w:rFonts w:cs="Arial"/>
          <w:szCs w:val="28"/>
        </w:rPr>
        <w:footnoteReference w:id="4"/>
      </w:r>
      <w:r w:rsidRPr="00FE143F">
        <w:t>.</w:t>
      </w:r>
    </w:p>
    <w:p w14:paraId="359B5C66" w14:textId="367D362A" w:rsidR="008533A0" w:rsidRPr="00FE143F" w:rsidRDefault="008533A0" w:rsidP="00AA1182">
      <w:pPr>
        <w:spacing w:line="276" w:lineRule="auto"/>
      </w:pPr>
      <w:r w:rsidRPr="00FE143F">
        <w:t xml:space="preserve">La </w:t>
      </w:r>
      <w:r w:rsidRPr="007F7C90">
        <w:rPr>
          <w:b/>
          <w:bCs/>
        </w:rPr>
        <w:t>Cour suprême</w:t>
      </w:r>
      <w:r w:rsidRPr="00FE143F">
        <w:t xml:space="preserve"> a donné </w:t>
      </w:r>
      <w:r w:rsidRPr="007424DE">
        <w:rPr>
          <w:b/>
          <w:bCs/>
        </w:rPr>
        <w:t>trois catégories de contraintes excessives</w:t>
      </w:r>
      <w:r w:rsidR="008F4792">
        <w:t> </w:t>
      </w:r>
      <w:r w:rsidRPr="00FE143F">
        <w:t>: «</w:t>
      </w:r>
      <w:r w:rsidR="008F4792">
        <w:t> </w:t>
      </w:r>
      <w:r w:rsidRPr="00FE143F">
        <w:t>les limites des ressources financières, le respect des droits de la victime et le bon fonctionnement de l</w:t>
      </w:r>
      <w:r w:rsidR="00033E85">
        <w:t>’</w:t>
      </w:r>
      <w:r w:rsidRPr="00FE143F">
        <w:t>entreprise ou de l</w:t>
      </w:r>
      <w:r w:rsidR="00033E85">
        <w:t>’</w:t>
      </w:r>
      <w:r w:rsidRPr="00FE143F">
        <w:t>institution débitrice de la mesure d</w:t>
      </w:r>
      <w:r w:rsidR="00033E85">
        <w:t>’</w:t>
      </w:r>
      <w:r w:rsidRPr="00FE143F">
        <w:t>accommodement</w:t>
      </w:r>
      <w:r w:rsidR="008F4792">
        <w:t> </w:t>
      </w:r>
      <w:r w:rsidRPr="00FE143F">
        <w:t>»</w:t>
      </w:r>
      <w:r w:rsidRPr="00FE143F">
        <w:rPr>
          <w:rStyle w:val="FootnoteReference"/>
          <w:rFonts w:cs="Arial"/>
          <w:szCs w:val="28"/>
        </w:rPr>
        <w:footnoteReference w:id="5"/>
      </w:r>
      <w:r w:rsidRPr="00FE143F">
        <w:t>. Le fardeau appartient à l’établissement de démontrer qu’il s’agit d’une contrainte excessive. L’évaluation de la contrainte excessive varie selon le cas.</w:t>
      </w:r>
    </w:p>
    <w:p w14:paraId="24347379" w14:textId="23676590" w:rsidR="008533A0" w:rsidRPr="00FE143F" w:rsidRDefault="007424DE" w:rsidP="00AA1182">
      <w:pPr>
        <w:spacing w:line="276" w:lineRule="auto"/>
      </w:pPr>
      <w:r>
        <w:t>En somme,</w:t>
      </w:r>
      <w:r w:rsidR="008533A0" w:rsidRPr="00FE143F">
        <w:t xml:space="preserve"> lorsque vous magasinez ou sortez au restaurant et vous rencontrez un point de vente inaccessible, </w:t>
      </w:r>
      <w:r w:rsidR="008533A0" w:rsidRPr="007424DE">
        <w:rPr>
          <w:b/>
          <w:bCs/>
        </w:rPr>
        <w:t>vous êtes en droit de demander d’être accommodé de façon raisonnable</w:t>
      </w:r>
      <w:r w:rsidR="008533A0" w:rsidRPr="00FE143F">
        <w:t xml:space="preserve">. Si vous pensez qu’un établissement a failli à son obligation d’accommodement raisonnable, vous pouvez faire une plainte auprès de la </w:t>
      </w:r>
      <w:r>
        <w:rPr>
          <w:b/>
          <w:bCs/>
        </w:rPr>
        <w:t>Commission des droits de la personne et de</w:t>
      </w:r>
      <w:r w:rsidR="00C22EE0">
        <w:rPr>
          <w:b/>
          <w:bCs/>
        </w:rPr>
        <w:t>s droits de</w:t>
      </w:r>
      <w:r>
        <w:rPr>
          <w:b/>
          <w:bCs/>
        </w:rPr>
        <w:t xml:space="preserve"> la jeunesse</w:t>
      </w:r>
      <w:r w:rsidR="008533A0" w:rsidRPr="00FE143F">
        <w:t>.</w:t>
      </w:r>
    </w:p>
    <w:p w14:paraId="64127441" w14:textId="77777777" w:rsidR="00B34E87" w:rsidRDefault="00B34E87" w:rsidP="00AA1182">
      <w:pPr>
        <w:spacing w:line="276" w:lineRule="auto"/>
      </w:pPr>
    </w:p>
    <w:p w14:paraId="2AE296C1" w14:textId="7A85563A" w:rsidR="00CB7FAA" w:rsidRPr="00CB7FAA" w:rsidRDefault="00CB7FAA" w:rsidP="005F1284">
      <w:pPr>
        <w:pStyle w:val="Heading3"/>
      </w:pPr>
      <w:bookmarkStart w:id="19" w:name="_Toc79748264"/>
      <w:r w:rsidRPr="00CB7FAA">
        <w:t>Je suis parfois désorienté lorsque je visite de nouveaux magasins, centres de services ou autres lieux publics. Qu’est-ce que je peux faire</w:t>
      </w:r>
      <w:r w:rsidR="008F4792">
        <w:rPr>
          <w:rFonts w:ascii="Arial" w:hAnsi="Arial" w:cs="Arial"/>
        </w:rPr>
        <w:t> </w:t>
      </w:r>
      <w:r w:rsidRPr="00CB7FAA">
        <w:t>?</w:t>
      </w:r>
      <w:bookmarkEnd w:id="19"/>
      <w:r w:rsidRPr="00CB7FAA">
        <w:t xml:space="preserve"> </w:t>
      </w:r>
    </w:p>
    <w:p w14:paraId="51BE2455" w14:textId="0E647114" w:rsidR="00CB7FAA" w:rsidRDefault="00CB7FAA" w:rsidP="00AA1182">
      <w:pPr>
        <w:spacing w:line="276" w:lineRule="auto"/>
        <w:rPr>
          <w:rFonts w:cs="Arial"/>
          <w:szCs w:val="28"/>
        </w:rPr>
      </w:pPr>
      <w:r w:rsidRPr="00CB7FAA">
        <w:rPr>
          <w:rFonts w:cs="Arial"/>
          <w:szCs w:val="28"/>
        </w:rPr>
        <w:t>Si vous éprouvez de la difficulté à vous retrouver dans un magasin ou</w:t>
      </w:r>
      <w:r>
        <w:rPr>
          <w:rFonts w:cs="Arial"/>
          <w:szCs w:val="28"/>
        </w:rPr>
        <w:t xml:space="preserve"> </w:t>
      </w:r>
      <w:r w:rsidRPr="00CB7FAA">
        <w:rPr>
          <w:rFonts w:cs="Arial"/>
          <w:szCs w:val="28"/>
        </w:rPr>
        <w:t>autres lieux publics, vous pouvez toujours vous référe</w:t>
      </w:r>
      <w:r w:rsidR="00181D7A">
        <w:rPr>
          <w:rFonts w:cs="Arial"/>
          <w:szCs w:val="28"/>
        </w:rPr>
        <w:t>r</w:t>
      </w:r>
      <w:r w:rsidRPr="00CB7FAA">
        <w:rPr>
          <w:rFonts w:cs="Arial"/>
          <w:szCs w:val="28"/>
        </w:rPr>
        <w:t xml:space="preserve"> à un employé ou un garde travaillant sur place pour vous aider. Ils doivent respecter votre handicap et </w:t>
      </w:r>
      <w:r w:rsidRPr="00BA41B2">
        <w:rPr>
          <w:rFonts w:cs="Arial"/>
          <w:b/>
          <w:bCs/>
          <w:szCs w:val="28"/>
        </w:rPr>
        <w:t>vous accommoder raisonnablement</w:t>
      </w:r>
      <w:r w:rsidRPr="00CB7FAA">
        <w:rPr>
          <w:rFonts w:cs="Arial"/>
          <w:szCs w:val="28"/>
        </w:rPr>
        <w:t xml:space="preserve"> de la meilleure façon possible. </w:t>
      </w:r>
    </w:p>
    <w:p w14:paraId="3F288B33" w14:textId="7B92E40E" w:rsidR="00BA41B2" w:rsidRDefault="00BA41B2" w:rsidP="00AA1182">
      <w:pPr>
        <w:spacing w:line="276" w:lineRule="auto"/>
        <w:rPr>
          <w:rFonts w:cs="Arial"/>
          <w:szCs w:val="28"/>
        </w:rPr>
      </w:pPr>
      <w:r>
        <w:rPr>
          <w:rFonts w:cs="Arial"/>
          <w:szCs w:val="28"/>
        </w:rPr>
        <w:lastRenderedPageBreak/>
        <w:t>Divers outils technologiques existent également</w:t>
      </w:r>
      <w:r w:rsidR="00CE516E">
        <w:rPr>
          <w:rFonts w:cs="Arial"/>
          <w:szCs w:val="28"/>
        </w:rPr>
        <w:t xml:space="preserve"> pour faciliter la navigation au sein d’établissements. Par exemple, l’application pour téléphone «</w:t>
      </w:r>
      <w:r w:rsidR="008F4792">
        <w:rPr>
          <w:rFonts w:cs="Arial"/>
          <w:szCs w:val="28"/>
        </w:rPr>
        <w:t> </w:t>
      </w:r>
      <w:hyperlink r:id="rId33" w:history="1">
        <w:r w:rsidR="00CE516E" w:rsidRPr="00DA5928">
          <w:rPr>
            <w:rStyle w:val="Hyperlink"/>
            <w:rFonts w:cs="Arial"/>
            <w:b/>
            <w:bCs/>
            <w:szCs w:val="28"/>
          </w:rPr>
          <w:t xml:space="preserve">Be </w:t>
        </w:r>
        <w:proofErr w:type="spellStart"/>
        <w:r w:rsidR="00CE516E" w:rsidRPr="00DA5928">
          <w:rPr>
            <w:rStyle w:val="Hyperlink"/>
            <w:rFonts w:cs="Arial"/>
            <w:b/>
            <w:bCs/>
            <w:szCs w:val="28"/>
          </w:rPr>
          <w:t>My</w:t>
        </w:r>
        <w:proofErr w:type="spellEnd"/>
        <w:r w:rsidR="00CE516E" w:rsidRPr="00DA5928">
          <w:rPr>
            <w:rStyle w:val="Hyperlink"/>
            <w:rFonts w:cs="Arial"/>
            <w:b/>
            <w:bCs/>
            <w:szCs w:val="28"/>
          </w:rPr>
          <w:t xml:space="preserve"> </w:t>
        </w:r>
        <w:proofErr w:type="spellStart"/>
        <w:r w:rsidR="00CE516E" w:rsidRPr="00DA5928">
          <w:rPr>
            <w:rStyle w:val="Hyperlink"/>
            <w:rFonts w:cs="Arial"/>
            <w:b/>
            <w:bCs/>
            <w:szCs w:val="28"/>
          </w:rPr>
          <w:t>Eyes</w:t>
        </w:r>
        <w:proofErr w:type="spellEnd"/>
        <w:r w:rsidR="008F4792">
          <w:rPr>
            <w:rStyle w:val="Hyperlink"/>
            <w:rFonts w:cs="Arial"/>
            <w:szCs w:val="28"/>
          </w:rPr>
          <w:t> </w:t>
        </w:r>
      </w:hyperlink>
      <w:r w:rsidR="00CE516E">
        <w:rPr>
          <w:rFonts w:cs="Arial"/>
          <w:szCs w:val="28"/>
        </w:rPr>
        <w:t>» permet de contacter un volontaire qui</w:t>
      </w:r>
      <w:r w:rsidR="00DA5928">
        <w:rPr>
          <w:rFonts w:cs="Arial"/>
          <w:szCs w:val="28"/>
        </w:rPr>
        <w:t>, par appel vidéo, peut assister une personne.</w:t>
      </w:r>
      <w:r w:rsidR="00D0140C">
        <w:rPr>
          <w:rFonts w:cs="Arial"/>
          <w:szCs w:val="28"/>
        </w:rPr>
        <w:t xml:space="preserve"> Il y a également l’application «</w:t>
      </w:r>
      <w:r w:rsidR="008F4792">
        <w:rPr>
          <w:rFonts w:cs="Arial"/>
          <w:szCs w:val="28"/>
        </w:rPr>
        <w:t> </w:t>
      </w:r>
      <w:proofErr w:type="spellStart"/>
      <w:r w:rsidR="00F57442">
        <w:fldChar w:fldCharType="begin"/>
      </w:r>
      <w:r w:rsidR="00F57442">
        <w:instrText xml:space="preserve"> HYPERLINK "https://www.evelity.com/" </w:instrText>
      </w:r>
      <w:r w:rsidR="00F57442">
        <w:fldChar w:fldCharType="separate"/>
      </w:r>
      <w:r w:rsidR="00D0140C" w:rsidRPr="005B5AFC">
        <w:rPr>
          <w:rStyle w:val="Hyperlink"/>
          <w:rFonts w:cs="Arial"/>
          <w:b/>
          <w:bCs/>
          <w:szCs w:val="28"/>
        </w:rPr>
        <w:t>Evelity</w:t>
      </w:r>
      <w:proofErr w:type="spellEnd"/>
      <w:r w:rsidR="00F57442">
        <w:rPr>
          <w:rStyle w:val="Hyperlink"/>
          <w:rFonts w:cs="Arial"/>
          <w:b/>
          <w:bCs/>
          <w:szCs w:val="28"/>
        </w:rPr>
        <w:fldChar w:fldCharType="end"/>
      </w:r>
      <w:r w:rsidR="008F4792">
        <w:rPr>
          <w:rFonts w:cs="Arial"/>
          <w:szCs w:val="28"/>
        </w:rPr>
        <w:t> </w:t>
      </w:r>
      <w:r w:rsidR="00D0140C">
        <w:rPr>
          <w:rFonts w:cs="Arial"/>
          <w:szCs w:val="28"/>
        </w:rPr>
        <w:t xml:space="preserve">» qui rend disponible un guidage intérieur de tout établissement par l’utilisation d’un système de GPS. </w:t>
      </w:r>
    </w:p>
    <w:p w14:paraId="7B36331F" w14:textId="77777777" w:rsidR="005B5AFC" w:rsidRPr="00D0140C" w:rsidRDefault="005B5AFC" w:rsidP="00AA1182">
      <w:pPr>
        <w:spacing w:line="276" w:lineRule="auto"/>
        <w:rPr>
          <w:rFonts w:cs="Arial"/>
          <w:szCs w:val="28"/>
        </w:rPr>
      </w:pPr>
    </w:p>
    <w:p w14:paraId="15347CBA" w14:textId="77842124" w:rsidR="008812BF" w:rsidRPr="008812BF" w:rsidRDefault="008812BF" w:rsidP="005F1284">
      <w:pPr>
        <w:pStyle w:val="Heading3"/>
      </w:pPr>
      <w:bookmarkStart w:id="20" w:name="_Toc79748265"/>
      <w:r w:rsidRPr="008812BF">
        <w:t>On m’a refusé l’accès à un restaurant ou à un magasin parce que j’étais accompagn</w:t>
      </w:r>
      <w:r>
        <w:t>é</w:t>
      </w:r>
      <w:r w:rsidRPr="008812BF">
        <w:t xml:space="preserve"> de mon chien-guide. Qu’est-ce que je peux faire</w:t>
      </w:r>
      <w:r w:rsidR="008F4792">
        <w:rPr>
          <w:rFonts w:ascii="Arial" w:hAnsi="Arial" w:cs="Arial"/>
        </w:rPr>
        <w:t> </w:t>
      </w:r>
      <w:r w:rsidRPr="008812BF">
        <w:t>?</w:t>
      </w:r>
      <w:bookmarkEnd w:id="20"/>
      <w:r w:rsidRPr="008812BF">
        <w:t xml:space="preserve"> </w:t>
      </w:r>
    </w:p>
    <w:p w14:paraId="19A198D4" w14:textId="490D013D" w:rsidR="008812BF" w:rsidRPr="008812BF" w:rsidRDefault="008812BF" w:rsidP="00AA1182">
      <w:pPr>
        <w:spacing w:line="276" w:lineRule="auto"/>
        <w:rPr>
          <w:szCs w:val="28"/>
        </w:rPr>
      </w:pPr>
      <w:r w:rsidRPr="008812BF">
        <w:rPr>
          <w:szCs w:val="28"/>
        </w:rPr>
        <w:t xml:space="preserve">Un restaurateur ou un propriétaire de magasin </w:t>
      </w:r>
      <w:r w:rsidRPr="008812BF">
        <w:rPr>
          <w:b/>
          <w:bCs/>
          <w:szCs w:val="28"/>
        </w:rPr>
        <w:t>ne peut pas vous refuser l’accès d’un endroit ouvert au public pour seule raison que vous êtes accompagné d’un chien-guide</w:t>
      </w:r>
      <w:r w:rsidRPr="008812BF">
        <w:rPr>
          <w:szCs w:val="28"/>
        </w:rPr>
        <w:t>. Ce dernier représente un</w:t>
      </w:r>
      <w:r w:rsidR="00CF6E48">
        <w:rPr>
          <w:szCs w:val="28"/>
        </w:rPr>
        <w:t>e discrimination</w:t>
      </w:r>
      <w:r w:rsidRPr="008812BF">
        <w:rPr>
          <w:szCs w:val="28"/>
        </w:rPr>
        <w:t xml:space="preserve"> au sens de l’article</w:t>
      </w:r>
      <w:r w:rsidR="0047325E">
        <w:rPr>
          <w:szCs w:val="28"/>
        </w:rPr>
        <w:t> </w:t>
      </w:r>
      <w:r w:rsidRPr="008812BF">
        <w:rPr>
          <w:szCs w:val="28"/>
        </w:rPr>
        <w:t xml:space="preserve">10 de la </w:t>
      </w:r>
      <w:r w:rsidR="00020773" w:rsidRPr="00020773">
        <w:rPr>
          <w:b/>
          <w:bCs/>
          <w:szCs w:val="28"/>
        </w:rPr>
        <w:t>Charte québécoise</w:t>
      </w:r>
      <w:r w:rsidRPr="008812BF">
        <w:rPr>
          <w:szCs w:val="28"/>
        </w:rPr>
        <w:t xml:space="preserve">. </w:t>
      </w:r>
    </w:p>
    <w:p w14:paraId="759F27F1" w14:textId="2275444E" w:rsidR="008812BF" w:rsidRPr="008812BF" w:rsidRDefault="008812BF" w:rsidP="00AA1182">
      <w:pPr>
        <w:spacing w:line="276" w:lineRule="auto"/>
        <w:rPr>
          <w:szCs w:val="28"/>
        </w:rPr>
      </w:pPr>
      <w:r w:rsidRPr="008812BF">
        <w:rPr>
          <w:szCs w:val="28"/>
        </w:rPr>
        <w:t xml:space="preserve">Ainsi, rappelez à ladite personne que vous avez une déficience visuelle, que vous avez besoin de votre chien-guide et que c’est votre droit. Si cette personne ne vous laisse toujours pas rentrer par la suite, vous pouvez déposer une plainte à la </w:t>
      </w:r>
      <w:r w:rsidRPr="00E41F7E">
        <w:rPr>
          <w:b/>
          <w:bCs/>
          <w:szCs w:val="28"/>
        </w:rPr>
        <w:t xml:space="preserve">Commission des droits de la personne et </w:t>
      </w:r>
      <w:r w:rsidR="00C22EE0">
        <w:rPr>
          <w:b/>
          <w:bCs/>
          <w:szCs w:val="28"/>
        </w:rPr>
        <w:t xml:space="preserve">des droits </w:t>
      </w:r>
      <w:r w:rsidRPr="00E41F7E">
        <w:rPr>
          <w:b/>
          <w:bCs/>
          <w:szCs w:val="28"/>
        </w:rPr>
        <w:t>de la jeunesse</w:t>
      </w:r>
      <w:r w:rsidRPr="008812BF">
        <w:rPr>
          <w:szCs w:val="28"/>
        </w:rPr>
        <w:t xml:space="preserve">. Voir plus haut pour le processus à voir et les autres recours à votre disposition dans ce type de situation. </w:t>
      </w:r>
      <w:r w:rsidR="00E41F7E">
        <w:rPr>
          <w:szCs w:val="28"/>
        </w:rPr>
        <w:t xml:space="preserve">Notre </w:t>
      </w:r>
      <w:hyperlink r:id="rId34" w:history="1">
        <w:r w:rsidR="00E41F7E" w:rsidRPr="00983E55">
          <w:rPr>
            <w:rStyle w:val="Hyperlink"/>
            <w:b/>
            <w:bCs/>
            <w:szCs w:val="28"/>
          </w:rPr>
          <w:t>page portant spécifiquement sur l’accès des chiens-guides</w:t>
        </w:r>
      </w:hyperlink>
      <w:r w:rsidR="00E41F7E">
        <w:rPr>
          <w:szCs w:val="28"/>
        </w:rPr>
        <w:t xml:space="preserve"> pourrait également vous être utile. </w:t>
      </w:r>
      <w:r w:rsidR="00983E55">
        <w:rPr>
          <w:szCs w:val="28"/>
        </w:rPr>
        <w:t xml:space="preserve">Ces illustrations jurisprudentielles </w:t>
      </w:r>
      <w:r w:rsidR="009C5BF6">
        <w:rPr>
          <w:szCs w:val="28"/>
        </w:rPr>
        <w:t>pourraient également vous être pertinente si vous vivez une situation similaire :</w:t>
      </w:r>
      <w:r w:rsidRPr="008812BF">
        <w:rPr>
          <w:szCs w:val="28"/>
        </w:rPr>
        <w:t xml:space="preserve"> </w:t>
      </w:r>
    </w:p>
    <w:p w14:paraId="75CC31BF" w14:textId="62BC38EE" w:rsidR="008812BF" w:rsidRPr="00AC7C13" w:rsidRDefault="008812BF" w:rsidP="00AA1182">
      <w:pPr>
        <w:pStyle w:val="ListParagraph"/>
        <w:numPr>
          <w:ilvl w:val="0"/>
          <w:numId w:val="17"/>
        </w:numPr>
        <w:spacing w:line="276" w:lineRule="auto"/>
        <w:rPr>
          <w:szCs w:val="28"/>
        </w:rPr>
      </w:pPr>
      <w:r w:rsidRPr="00AC7C13">
        <w:rPr>
          <w:szCs w:val="28"/>
        </w:rPr>
        <w:t xml:space="preserve">Empêcher une personne d’avoir accès à un lieu public parce qu’elle est accompagnée d’un chien est discriminatoire au sens des </w:t>
      </w:r>
      <w:r w:rsidRPr="00AC7C13">
        <w:rPr>
          <w:b/>
          <w:bCs/>
          <w:szCs w:val="28"/>
        </w:rPr>
        <w:t>articles</w:t>
      </w:r>
      <w:r w:rsidR="0047325E">
        <w:rPr>
          <w:b/>
          <w:bCs/>
          <w:szCs w:val="28"/>
        </w:rPr>
        <w:t> </w:t>
      </w:r>
      <w:r w:rsidRPr="00AC7C13">
        <w:rPr>
          <w:b/>
          <w:bCs/>
          <w:szCs w:val="28"/>
        </w:rPr>
        <w:t>10 et 15</w:t>
      </w:r>
      <w:r w:rsidRPr="00AC7C13">
        <w:rPr>
          <w:szCs w:val="28"/>
        </w:rPr>
        <w:t xml:space="preserve"> si cette personne est un aveugle et qu’il s’agit de son chien-guide</w:t>
      </w:r>
      <w:r w:rsidR="006A34D5" w:rsidRPr="00AC7C13">
        <w:rPr>
          <w:szCs w:val="28"/>
        </w:rPr>
        <w:t xml:space="preserve"> (</w:t>
      </w:r>
      <w:hyperlink r:id="rId35" w:history="1">
        <w:r w:rsidR="00AC7C13" w:rsidRPr="000378F0">
          <w:rPr>
            <w:rStyle w:val="Hyperlink"/>
            <w:b/>
            <w:bCs/>
            <w:szCs w:val="28"/>
          </w:rPr>
          <w:t>Commission des droits de la personne et des droits de la jeunesse</w:t>
        </w:r>
        <w:r w:rsidR="00AC7C13" w:rsidRPr="000378F0">
          <w:rPr>
            <w:rStyle w:val="Hyperlink"/>
            <w:szCs w:val="28"/>
          </w:rPr>
          <w:t xml:space="preserve"> c. </w:t>
        </w:r>
        <w:r w:rsidR="00AC7C13" w:rsidRPr="000378F0">
          <w:rPr>
            <w:rStyle w:val="Hyperlink"/>
            <w:b/>
            <w:bCs/>
            <w:szCs w:val="28"/>
          </w:rPr>
          <w:t>Spa Bromont Inc</w:t>
        </w:r>
        <w:r w:rsidR="00AC7C13" w:rsidRPr="000378F0">
          <w:rPr>
            <w:rStyle w:val="Hyperlink"/>
            <w:szCs w:val="28"/>
          </w:rPr>
          <w:t xml:space="preserve">., </w:t>
        </w:r>
        <w:r w:rsidR="00033E85">
          <w:rPr>
            <w:rStyle w:val="Hyperlink"/>
            <w:szCs w:val="28"/>
          </w:rPr>
          <w:t>[</w:t>
        </w:r>
        <w:r w:rsidR="00AC7C13" w:rsidRPr="000378F0">
          <w:rPr>
            <w:rStyle w:val="Hyperlink"/>
            <w:szCs w:val="28"/>
          </w:rPr>
          <w:t>2013</w:t>
        </w:r>
        <w:r w:rsidR="00033E85">
          <w:rPr>
            <w:rStyle w:val="Hyperlink"/>
            <w:szCs w:val="28"/>
          </w:rPr>
          <w:t>]</w:t>
        </w:r>
        <w:r w:rsidR="00AC7C13" w:rsidRPr="000378F0">
          <w:rPr>
            <w:rStyle w:val="Hyperlink"/>
            <w:szCs w:val="28"/>
          </w:rPr>
          <w:t xml:space="preserve"> R.J.D.T.</w:t>
        </w:r>
        <w:r w:rsidR="0047325E">
          <w:rPr>
            <w:rStyle w:val="Hyperlink"/>
            <w:szCs w:val="28"/>
          </w:rPr>
          <w:t> </w:t>
        </w:r>
        <w:r w:rsidR="00AC7C13" w:rsidRPr="000378F0">
          <w:rPr>
            <w:rStyle w:val="Hyperlink"/>
            <w:szCs w:val="28"/>
          </w:rPr>
          <w:t>920; J.E.</w:t>
        </w:r>
        <w:r w:rsidR="0047325E">
          <w:rPr>
            <w:rStyle w:val="Hyperlink"/>
            <w:szCs w:val="28"/>
          </w:rPr>
          <w:t> </w:t>
        </w:r>
        <w:r w:rsidR="00AC7C13" w:rsidRPr="000378F0">
          <w:rPr>
            <w:rStyle w:val="Hyperlink"/>
            <w:szCs w:val="28"/>
          </w:rPr>
          <w:t xml:space="preserve">2013-1543 </w:t>
        </w:r>
        <w:r w:rsidR="00033E85">
          <w:rPr>
            <w:rStyle w:val="Hyperlink"/>
            <w:szCs w:val="28"/>
          </w:rPr>
          <w:t>[</w:t>
        </w:r>
        <w:r w:rsidR="00AC7C13" w:rsidRPr="000378F0">
          <w:rPr>
            <w:rStyle w:val="Hyperlink"/>
            <w:szCs w:val="28"/>
          </w:rPr>
          <w:t>T.D.P.</w:t>
        </w:r>
        <w:r w:rsidR="00033E85">
          <w:rPr>
            <w:rStyle w:val="Hyperlink"/>
            <w:szCs w:val="28"/>
          </w:rPr>
          <w:t>]</w:t>
        </w:r>
        <w:r w:rsidR="00AC7C13" w:rsidRPr="000378F0">
          <w:rPr>
            <w:rStyle w:val="Hyperlink"/>
            <w:szCs w:val="28"/>
          </w:rPr>
          <w:t>; 2013 QCTDP</w:t>
        </w:r>
        <w:r w:rsidR="0047325E">
          <w:rPr>
            <w:rStyle w:val="Hyperlink"/>
            <w:szCs w:val="28"/>
          </w:rPr>
          <w:t> </w:t>
        </w:r>
        <w:r w:rsidR="00AC7C13" w:rsidRPr="000378F0">
          <w:rPr>
            <w:rStyle w:val="Hyperlink"/>
            <w:szCs w:val="28"/>
          </w:rPr>
          <w:t>26</w:t>
        </w:r>
      </w:hyperlink>
      <w:r w:rsidR="00AC7C13" w:rsidRPr="00AC7C13">
        <w:rPr>
          <w:szCs w:val="28"/>
        </w:rPr>
        <w:t>).</w:t>
      </w:r>
    </w:p>
    <w:p w14:paraId="4988BEA9" w14:textId="69E0E357" w:rsidR="006654F6" w:rsidRDefault="008812BF" w:rsidP="00AA1182">
      <w:pPr>
        <w:pStyle w:val="ListParagraph"/>
        <w:numPr>
          <w:ilvl w:val="0"/>
          <w:numId w:val="17"/>
        </w:numPr>
        <w:spacing w:line="276" w:lineRule="auto"/>
        <w:rPr>
          <w:szCs w:val="28"/>
        </w:rPr>
      </w:pPr>
      <w:r w:rsidRPr="00AC7C13">
        <w:rPr>
          <w:szCs w:val="28"/>
        </w:rPr>
        <w:lastRenderedPageBreak/>
        <w:t>Quant aux obligations d’un centre d’entraînement. Cette discrimination requiert un accommodement, qu’on ne peut refuser d’accorder que si la présence du chien dans le lieu représente un risque grave et excessif pour la sécurité et non simplement parce que la seule présence du chien représente un risque</w:t>
      </w:r>
      <w:r w:rsidR="00E96082">
        <w:rPr>
          <w:szCs w:val="28"/>
        </w:rPr>
        <w:t xml:space="preserve"> (</w:t>
      </w:r>
      <w:hyperlink r:id="rId36" w:history="1">
        <w:r w:rsidR="00E96082" w:rsidRPr="00C55428">
          <w:rPr>
            <w:rStyle w:val="Hyperlink"/>
            <w:b/>
            <w:bCs/>
            <w:szCs w:val="28"/>
          </w:rPr>
          <w:t>Commission des droits de la personne et des droits de la jeunesse</w:t>
        </w:r>
        <w:r w:rsidR="00E96082" w:rsidRPr="00C55428">
          <w:rPr>
            <w:rStyle w:val="Hyperlink"/>
            <w:szCs w:val="28"/>
          </w:rPr>
          <w:t xml:space="preserve"> c. </w:t>
        </w:r>
        <w:r w:rsidR="00E96082" w:rsidRPr="00C55428">
          <w:rPr>
            <w:rStyle w:val="Hyperlink"/>
            <w:b/>
            <w:bCs/>
            <w:szCs w:val="28"/>
          </w:rPr>
          <w:t>Centre Latitude Fitness Inc.</w:t>
        </w:r>
        <w:r w:rsidR="00E96082" w:rsidRPr="00C55428">
          <w:rPr>
            <w:rStyle w:val="Hyperlink"/>
            <w:szCs w:val="28"/>
          </w:rPr>
          <w:t>, J.E.</w:t>
        </w:r>
        <w:r w:rsidR="0047325E">
          <w:rPr>
            <w:rStyle w:val="Hyperlink"/>
            <w:szCs w:val="28"/>
          </w:rPr>
          <w:t> </w:t>
        </w:r>
        <w:r w:rsidR="00E96082" w:rsidRPr="00C55428">
          <w:rPr>
            <w:rStyle w:val="Hyperlink"/>
            <w:szCs w:val="28"/>
          </w:rPr>
          <w:t xml:space="preserve">2013-1831 </w:t>
        </w:r>
        <w:r w:rsidR="00033E85">
          <w:rPr>
            <w:rStyle w:val="Hyperlink"/>
            <w:szCs w:val="28"/>
          </w:rPr>
          <w:t>[</w:t>
        </w:r>
        <w:r w:rsidR="00E96082" w:rsidRPr="00C55428">
          <w:rPr>
            <w:rStyle w:val="Hyperlink"/>
            <w:szCs w:val="28"/>
          </w:rPr>
          <w:t>T.D.P.</w:t>
        </w:r>
        <w:r w:rsidR="00033E85">
          <w:rPr>
            <w:rStyle w:val="Hyperlink"/>
            <w:szCs w:val="28"/>
          </w:rPr>
          <w:t>]</w:t>
        </w:r>
        <w:r w:rsidR="00E96082" w:rsidRPr="00C55428">
          <w:rPr>
            <w:rStyle w:val="Hyperlink"/>
            <w:szCs w:val="28"/>
          </w:rPr>
          <w:t>; 2013 QCTDP</w:t>
        </w:r>
        <w:r w:rsidR="0047325E">
          <w:rPr>
            <w:rStyle w:val="Hyperlink"/>
            <w:szCs w:val="28"/>
          </w:rPr>
          <w:t> </w:t>
        </w:r>
        <w:r w:rsidR="00E96082" w:rsidRPr="00C55428">
          <w:rPr>
            <w:rStyle w:val="Hyperlink"/>
            <w:szCs w:val="28"/>
          </w:rPr>
          <w:t>27</w:t>
        </w:r>
      </w:hyperlink>
      <w:r w:rsidR="00CD7954">
        <w:rPr>
          <w:szCs w:val="28"/>
        </w:rPr>
        <w:t>).</w:t>
      </w:r>
    </w:p>
    <w:p w14:paraId="1D970A07" w14:textId="737E7B7C" w:rsidR="00BE4A73" w:rsidRPr="001757FF" w:rsidRDefault="00BE4A73" w:rsidP="00AA1182">
      <w:pPr>
        <w:pStyle w:val="ListParagraph"/>
        <w:numPr>
          <w:ilvl w:val="0"/>
          <w:numId w:val="17"/>
        </w:numPr>
        <w:spacing w:line="276" w:lineRule="auto"/>
        <w:rPr>
          <w:szCs w:val="28"/>
        </w:rPr>
      </w:pPr>
      <w:r>
        <w:rPr>
          <w:szCs w:val="28"/>
        </w:rPr>
        <w:t>Du côté de la restauration, la solution</w:t>
      </w:r>
      <w:r w:rsidR="001757FF">
        <w:rPr>
          <w:szCs w:val="28"/>
        </w:rPr>
        <w:t xml:space="preserve"> </w:t>
      </w:r>
      <w:r w:rsidR="001757FF" w:rsidRPr="001757FF">
        <w:rPr>
          <w:szCs w:val="28"/>
        </w:rPr>
        <w:t>proposée par le restaurant, de laisser le chien-guide dans le hall d’entrée du restaurant, ne peut en aucune manière constituer un accommodement raisonnable. Le chien-guide est le moyen pour l’aveugle de pallier son handicap. Il continue la personne aveugle, il est ses yeux et ce principe ne peut connaître aucune exception dans l’accès à un lieu public</w:t>
      </w:r>
      <w:r w:rsidR="00C80FA3">
        <w:rPr>
          <w:szCs w:val="28"/>
        </w:rPr>
        <w:t xml:space="preserve"> (</w:t>
      </w:r>
      <w:hyperlink r:id="rId37" w:history="1">
        <w:r w:rsidR="000D3A1C" w:rsidRPr="00B24417">
          <w:rPr>
            <w:rStyle w:val="Hyperlink"/>
            <w:b/>
            <w:bCs/>
            <w:szCs w:val="28"/>
          </w:rPr>
          <w:t>Commission des droits de la personne et des droits de la jeunesse</w:t>
        </w:r>
        <w:r w:rsidR="000D3A1C" w:rsidRPr="00B24417">
          <w:rPr>
            <w:rStyle w:val="Hyperlink"/>
            <w:szCs w:val="28"/>
          </w:rPr>
          <w:t xml:space="preserve"> c. </w:t>
        </w:r>
        <w:r w:rsidR="000D3A1C" w:rsidRPr="00B24417">
          <w:rPr>
            <w:rStyle w:val="Hyperlink"/>
            <w:b/>
            <w:bCs/>
            <w:szCs w:val="28"/>
          </w:rPr>
          <w:t>9107-9194</w:t>
        </w:r>
        <w:r w:rsidR="008F4792">
          <w:rPr>
            <w:rStyle w:val="Hyperlink"/>
            <w:b/>
            <w:bCs/>
            <w:szCs w:val="28"/>
          </w:rPr>
          <w:t> </w:t>
        </w:r>
        <w:r w:rsidR="000D3A1C" w:rsidRPr="00B24417">
          <w:rPr>
            <w:rStyle w:val="Hyperlink"/>
            <w:b/>
            <w:bCs/>
            <w:szCs w:val="28"/>
          </w:rPr>
          <w:t xml:space="preserve">Québec Inc. </w:t>
        </w:r>
        <w:r w:rsidR="00033E85">
          <w:rPr>
            <w:rStyle w:val="Hyperlink"/>
            <w:b/>
            <w:bCs/>
            <w:szCs w:val="28"/>
          </w:rPr>
          <w:t>[</w:t>
        </w:r>
        <w:r w:rsidR="000D3A1C" w:rsidRPr="00B24417">
          <w:rPr>
            <w:rStyle w:val="Hyperlink"/>
            <w:b/>
            <w:bCs/>
            <w:szCs w:val="28"/>
          </w:rPr>
          <w:t>Restaurant Jing Hua</w:t>
        </w:r>
        <w:r w:rsidR="00033E85">
          <w:rPr>
            <w:rStyle w:val="Hyperlink"/>
            <w:b/>
            <w:bCs/>
            <w:szCs w:val="28"/>
          </w:rPr>
          <w:t>]</w:t>
        </w:r>
        <w:r w:rsidR="000D3A1C" w:rsidRPr="00B24417">
          <w:rPr>
            <w:rStyle w:val="Hyperlink"/>
            <w:szCs w:val="28"/>
          </w:rPr>
          <w:t>, J.E.</w:t>
        </w:r>
        <w:r w:rsidR="0047325E">
          <w:rPr>
            <w:rStyle w:val="Hyperlink"/>
            <w:szCs w:val="28"/>
          </w:rPr>
          <w:t> </w:t>
        </w:r>
        <w:r w:rsidR="000D3A1C" w:rsidRPr="00B24417">
          <w:rPr>
            <w:rStyle w:val="Hyperlink"/>
            <w:szCs w:val="28"/>
          </w:rPr>
          <w:t>2006-466; EYB</w:t>
        </w:r>
        <w:r w:rsidR="0047325E">
          <w:rPr>
            <w:rStyle w:val="Hyperlink"/>
            <w:szCs w:val="28"/>
          </w:rPr>
          <w:t> </w:t>
        </w:r>
        <w:r w:rsidR="000D3A1C" w:rsidRPr="00B24417">
          <w:rPr>
            <w:rStyle w:val="Hyperlink"/>
            <w:szCs w:val="28"/>
          </w:rPr>
          <w:t xml:space="preserve">2005-101556 </w:t>
        </w:r>
        <w:r w:rsidR="00033E85">
          <w:rPr>
            <w:rStyle w:val="Hyperlink"/>
            <w:szCs w:val="28"/>
          </w:rPr>
          <w:t>[</w:t>
        </w:r>
        <w:r w:rsidR="000D3A1C" w:rsidRPr="00B24417">
          <w:rPr>
            <w:rStyle w:val="Hyperlink"/>
            <w:szCs w:val="28"/>
          </w:rPr>
          <w:t>T.D.P.</w:t>
        </w:r>
        <w:r w:rsidR="00033E85">
          <w:rPr>
            <w:rStyle w:val="Hyperlink"/>
            <w:szCs w:val="28"/>
          </w:rPr>
          <w:t>]</w:t>
        </w:r>
      </w:hyperlink>
      <w:r w:rsidR="00B24417">
        <w:rPr>
          <w:szCs w:val="28"/>
        </w:rPr>
        <w:t>)</w:t>
      </w:r>
      <w:r w:rsidR="000D3A1C" w:rsidRPr="000D3A1C">
        <w:rPr>
          <w:szCs w:val="28"/>
        </w:rPr>
        <w:t>.</w:t>
      </w:r>
    </w:p>
    <w:sectPr w:rsidR="00BE4A73" w:rsidRPr="001757FF" w:rsidSect="005364EB">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B42E" w14:textId="77777777" w:rsidR="00EE4E2D" w:rsidRDefault="00EE4E2D" w:rsidP="005364EB">
      <w:pPr>
        <w:spacing w:after="0" w:line="240" w:lineRule="auto"/>
      </w:pPr>
      <w:r>
        <w:separator/>
      </w:r>
    </w:p>
  </w:endnote>
  <w:endnote w:type="continuationSeparator" w:id="0">
    <w:p w14:paraId="7C043630" w14:textId="77777777" w:rsidR="00EE4E2D" w:rsidRDefault="00EE4E2D"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831CAFD-C32F-4507-8224-EA5700C4932B}"/>
    <w:embedBold r:id="rId2" w:fontKey="{D2175AE0-3D12-49B2-AB30-DF64D3F8950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2F222EC0-3452-4CF5-95E7-91DE2709FB82}"/>
    <w:embedBold r:id="rId4" w:fontKey="{4FAC8227-4013-4D70-8348-9EDFFED149FF}"/>
  </w:font>
  <w:font w:name="DK Plakkaat">
    <w:altName w:val="Cambria"/>
    <w:panose1 w:val="00090506000000020004"/>
    <w:charset w:val="00"/>
    <w:family w:val="roman"/>
    <w:pitch w:val="variable"/>
    <w:sig w:usb0="8000000F" w:usb1="00000002" w:usb2="00000000" w:usb3="00000000" w:csb0="00000093" w:csb1="00000000"/>
    <w:embedRegular r:id="rId5" w:fontKey="{8DF9478D-1118-47F3-B2C1-BA811BBE90C5}"/>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4F4674E9-21AC-4CB6-908C-AFF2AA69E50A}"/>
  </w:font>
  <w:font w:name="Calibri Light">
    <w:panose1 w:val="020F0302020204030204"/>
    <w:charset w:val="00"/>
    <w:family w:val="swiss"/>
    <w:pitch w:val="variable"/>
    <w:sig w:usb0="E4002EFF" w:usb1="C000247B" w:usb2="00000009" w:usb3="00000000" w:csb0="000001FF" w:csb1="00000000"/>
    <w:embedRegular r:id="rId7" w:fontKey="{E7C1DFDC-9092-405B-BAB0-41100A89E1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3675" w14:textId="77777777" w:rsidR="00871814" w:rsidRDefault="00871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879006838"/>
      <w:docPartObj>
        <w:docPartGallery w:val="Page Numbers (Bottom of Page)"/>
        <w:docPartUnique/>
      </w:docPartObj>
    </w:sdtPr>
    <w:sdtEndPr/>
    <w:sdtContent>
      <w:sdt>
        <w:sdtPr>
          <w:rPr>
            <w:szCs w:val="28"/>
          </w:rPr>
          <w:id w:val="-1769616900"/>
          <w:docPartObj>
            <w:docPartGallery w:val="Page Numbers (Top of Page)"/>
            <w:docPartUnique/>
          </w:docPartObj>
        </w:sdtPr>
        <w:sdtEndPr/>
        <w:sdtContent>
          <w:p w14:paraId="0A404F8B" w14:textId="1792F0E7" w:rsidR="005364EB" w:rsidRPr="005364EB" w:rsidRDefault="005364EB">
            <w:pPr>
              <w:pStyle w:val="Footer"/>
              <w:jc w:val="right"/>
              <w:rPr>
                <w:szCs w:val="28"/>
              </w:rPr>
            </w:pPr>
            <w:r w:rsidRPr="005364EB">
              <w:rPr>
                <w:szCs w:val="28"/>
                <w:lang w:val="fr-FR"/>
              </w:rPr>
              <w:t>Page</w:t>
            </w:r>
            <w:r w:rsidR="00E76E66">
              <w:rPr>
                <w:szCs w:val="28"/>
                <w:lang w:val="fr-FR"/>
              </w:rPr>
              <w:t> </w:t>
            </w:r>
            <w:r w:rsidRPr="005364EB">
              <w:rPr>
                <w:b/>
                <w:bCs/>
                <w:szCs w:val="28"/>
              </w:rPr>
              <w:fldChar w:fldCharType="begin"/>
            </w:r>
            <w:r w:rsidRPr="005364EB">
              <w:rPr>
                <w:b/>
                <w:bCs/>
                <w:szCs w:val="28"/>
              </w:rPr>
              <w:instrText>PAGE</w:instrText>
            </w:r>
            <w:r w:rsidRPr="005364EB">
              <w:rPr>
                <w:b/>
                <w:bCs/>
                <w:szCs w:val="28"/>
              </w:rPr>
              <w:fldChar w:fldCharType="separate"/>
            </w:r>
            <w:r w:rsidRPr="005364EB">
              <w:rPr>
                <w:b/>
                <w:bCs/>
                <w:szCs w:val="28"/>
                <w:lang w:val="fr-FR"/>
              </w:rPr>
              <w:t>2</w:t>
            </w:r>
            <w:r w:rsidRPr="005364EB">
              <w:rPr>
                <w:b/>
                <w:bCs/>
                <w:szCs w:val="28"/>
              </w:rPr>
              <w:fldChar w:fldCharType="end"/>
            </w:r>
            <w:r w:rsidRPr="005364EB">
              <w:rPr>
                <w:szCs w:val="28"/>
                <w:lang w:val="fr-FR"/>
              </w:rPr>
              <w:t xml:space="preserve"> sur </w:t>
            </w:r>
            <w:r w:rsidRPr="005364EB">
              <w:rPr>
                <w:b/>
                <w:bCs/>
                <w:szCs w:val="28"/>
              </w:rPr>
              <w:fldChar w:fldCharType="begin"/>
            </w:r>
            <w:r w:rsidRPr="005364EB">
              <w:rPr>
                <w:b/>
                <w:bCs/>
                <w:szCs w:val="28"/>
              </w:rPr>
              <w:instrText>NUMPAGES</w:instrText>
            </w:r>
            <w:r w:rsidRPr="005364EB">
              <w:rPr>
                <w:b/>
                <w:bCs/>
                <w:szCs w:val="28"/>
              </w:rPr>
              <w:fldChar w:fldCharType="separate"/>
            </w:r>
            <w:r w:rsidRPr="005364EB">
              <w:rPr>
                <w:b/>
                <w:bCs/>
                <w:szCs w:val="28"/>
                <w:lang w:val="fr-FR"/>
              </w:rPr>
              <w:t>2</w:t>
            </w:r>
            <w:r w:rsidRPr="005364EB">
              <w:rPr>
                <w:b/>
                <w:bCs/>
                <w:szCs w:val="28"/>
              </w:rPr>
              <w:fldChar w:fldCharType="end"/>
            </w:r>
          </w:p>
        </w:sdtContent>
      </w:sdt>
    </w:sdtContent>
  </w:sdt>
  <w:p w14:paraId="4F160EC2" w14:textId="77777777" w:rsidR="005364EB" w:rsidRDefault="00536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C22A" w14:textId="77777777" w:rsidR="00871814" w:rsidRDefault="00871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947F5" w14:textId="77777777" w:rsidR="00EE4E2D" w:rsidRDefault="00EE4E2D" w:rsidP="005364EB">
      <w:pPr>
        <w:spacing w:after="0" w:line="240" w:lineRule="auto"/>
      </w:pPr>
      <w:r>
        <w:separator/>
      </w:r>
    </w:p>
  </w:footnote>
  <w:footnote w:type="continuationSeparator" w:id="0">
    <w:p w14:paraId="6A4CE0D2" w14:textId="77777777" w:rsidR="00EE4E2D" w:rsidRDefault="00EE4E2D" w:rsidP="005364EB">
      <w:pPr>
        <w:spacing w:after="0" w:line="240" w:lineRule="auto"/>
      </w:pPr>
      <w:r>
        <w:continuationSeparator/>
      </w:r>
    </w:p>
  </w:footnote>
  <w:footnote w:id="1">
    <w:p w14:paraId="7FAB1177" w14:textId="77777777" w:rsidR="000E70BE" w:rsidRPr="00AA1182" w:rsidRDefault="000E70BE" w:rsidP="00AA1182">
      <w:pPr>
        <w:pStyle w:val="FootnoteText"/>
        <w:rPr>
          <w:rFonts w:cs="Arial"/>
          <w:sz w:val="24"/>
          <w:szCs w:val="24"/>
        </w:rPr>
      </w:pPr>
      <w:r w:rsidRPr="00AA1182">
        <w:rPr>
          <w:rStyle w:val="FootnoteReference"/>
          <w:rFonts w:cs="Arial"/>
          <w:sz w:val="24"/>
          <w:szCs w:val="24"/>
        </w:rPr>
        <w:footnoteRef/>
      </w:r>
      <w:r w:rsidRPr="00AA1182">
        <w:rPr>
          <w:rFonts w:cs="Arial"/>
          <w:sz w:val="24"/>
          <w:szCs w:val="24"/>
        </w:rPr>
        <w:t xml:space="preserve"> Cette Convention a été adoptée par l’assemblée générale des Nations Unies le </w:t>
      </w:r>
      <w:r w:rsidRPr="00AA1182">
        <w:rPr>
          <w:rFonts w:cs="Arial"/>
          <w:b/>
          <w:bCs/>
          <w:sz w:val="24"/>
          <w:szCs w:val="24"/>
        </w:rPr>
        <w:t>13 décembre 2006</w:t>
      </w:r>
      <w:r w:rsidRPr="00AA1182">
        <w:rPr>
          <w:rFonts w:cs="Arial"/>
          <w:sz w:val="24"/>
          <w:szCs w:val="24"/>
        </w:rPr>
        <w:t xml:space="preserve">, ratifiée par le Canada le </w:t>
      </w:r>
      <w:r w:rsidRPr="00AA1182">
        <w:rPr>
          <w:rFonts w:cs="Arial"/>
          <w:b/>
          <w:bCs/>
          <w:sz w:val="24"/>
          <w:szCs w:val="24"/>
        </w:rPr>
        <w:t>11 mars 2010</w:t>
      </w:r>
      <w:r w:rsidRPr="00AA1182">
        <w:rPr>
          <w:rFonts w:cs="Arial"/>
          <w:sz w:val="24"/>
          <w:szCs w:val="24"/>
        </w:rPr>
        <w:t xml:space="preserve"> et par le Québec le </w:t>
      </w:r>
      <w:r w:rsidRPr="00AA1182">
        <w:rPr>
          <w:rFonts w:cs="Arial"/>
          <w:b/>
          <w:bCs/>
          <w:sz w:val="24"/>
          <w:szCs w:val="24"/>
        </w:rPr>
        <w:t>10 mars 2010</w:t>
      </w:r>
      <w:r w:rsidRPr="00AA1182">
        <w:rPr>
          <w:rFonts w:cs="Arial"/>
          <w:sz w:val="24"/>
          <w:szCs w:val="24"/>
        </w:rPr>
        <w:t xml:space="preserve">. Pour des commentaires relatifs à cette convention, V. A. Boujeka, </w:t>
      </w:r>
      <w:r w:rsidRPr="00AA1182">
        <w:rPr>
          <w:rFonts w:cs="Arial"/>
          <w:b/>
          <w:bCs/>
          <w:sz w:val="24"/>
          <w:szCs w:val="24"/>
        </w:rPr>
        <w:t>La convention des Nations unies relative aux droits des personnes handicapées et son protocole facultatif</w:t>
      </w:r>
      <w:r w:rsidRPr="00AA1182">
        <w:rPr>
          <w:rFonts w:cs="Arial"/>
          <w:sz w:val="24"/>
          <w:szCs w:val="24"/>
        </w:rPr>
        <w:t>, RDSS sept-oct. 2007, n° 5, p. 799.</w:t>
      </w:r>
    </w:p>
  </w:footnote>
  <w:footnote w:id="2">
    <w:p w14:paraId="63F29A44" w14:textId="076A001E" w:rsidR="00040D9C" w:rsidRPr="00AA1182" w:rsidRDefault="00040D9C" w:rsidP="00AA1182">
      <w:pPr>
        <w:pStyle w:val="FootnoteText"/>
        <w:spacing w:before="120"/>
        <w:ind w:right="357"/>
        <w:rPr>
          <w:rFonts w:cs="Arial"/>
          <w:sz w:val="24"/>
          <w:szCs w:val="24"/>
        </w:rPr>
      </w:pPr>
      <w:r w:rsidRPr="00AA1182">
        <w:rPr>
          <w:rStyle w:val="FootnoteReference"/>
          <w:rFonts w:cs="Arial"/>
          <w:sz w:val="24"/>
          <w:szCs w:val="24"/>
        </w:rPr>
        <w:footnoteRef/>
      </w:r>
      <w:r w:rsidRPr="00AA1182">
        <w:rPr>
          <w:rFonts w:cs="Arial"/>
          <w:sz w:val="24"/>
          <w:szCs w:val="24"/>
        </w:rPr>
        <w:t xml:space="preserve">  </w:t>
      </w:r>
      <w:bookmarkStart w:id="16" w:name="_Hlk73773927"/>
      <w:r w:rsidRPr="00AA1182">
        <w:rPr>
          <w:rFonts w:cs="Arial"/>
          <w:sz w:val="24"/>
          <w:szCs w:val="24"/>
        </w:rPr>
        <w:t>Mélanie SAMSON, «</w:t>
      </w:r>
      <w:r w:rsidR="008F4792">
        <w:rPr>
          <w:rFonts w:cs="Arial"/>
          <w:sz w:val="24"/>
          <w:szCs w:val="24"/>
        </w:rPr>
        <w:t> </w:t>
      </w:r>
      <w:r w:rsidRPr="00AA1182">
        <w:rPr>
          <w:rFonts w:cs="Arial"/>
          <w:sz w:val="24"/>
          <w:szCs w:val="24"/>
        </w:rPr>
        <w:t>Le droit à l’égalité dans l’accès aux biens et aux services</w:t>
      </w:r>
      <w:r w:rsidR="008F4792">
        <w:rPr>
          <w:rFonts w:cs="Arial"/>
          <w:sz w:val="24"/>
          <w:szCs w:val="24"/>
        </w:rPr>
        <w:t> </w:t>
      </w:r>
      <w:r w:rsidRPr="00AA1182">
        <w:rPr>
          <w:rFonts w:cs="Arial"/>
          <w:sz w:val="24"/>
          <w:szCs w:val="24"/>
        </w:rPr>
        <w:t xml:space="preserve">: l’originalité des garanties offertes par la </w:t>
      </w:r>
      <w:r w:rsidR="00020773" w:rsidRPr="00020773">
        <w:rPr>
          <w:rFonts w:cs="Arial"/>
          <w:b/>
          <w:bCs/>
          <w:sz w:val="24"/>
          <w:szCs w:val="24"/>
        </w:rPr>
        <w:t>Charte québécoise</w:t>
      </w:r>
      <w:r w:rsidR="008F4792">
        <w:rPr>
          <w:rFonts w:cs="Arial"/>
          <w:sz w:val="24"/>
          <w:szCs w:val="24"/>
        </w:rPr>
        <w:t> </w:t>
      </w:r>
      <w:r w:rsidRPr="00AA1182">
        <w:rPr>
          <w:rFonts w:cs="Arial"/>
          <w:sz w:val="24"/>
          <w:szCs w:val="24"/>
        </w:rPr>
        <w:t>» (2008) 38 R.D.U.S).</w:t>
      </w:r>
      <w:bookmarkEnd w:id="16"/>
    </w:p>
  </w:footnote>
  <w:footnote w:id="3">
    <w:p w14:paraId="7DC76BB0" w14:textId="123CBBD6" w:rsidR="008533A0" w:rsidRPr="00AA1182" w:rsidRDefault="008533A0" w:rsidP="00AA1182">
      <w:pPr>
        <w:pStyle w:val="FootnoteText"/>
        <w:spacing w:before="120"/>
        <w:ind w:right="357"/>
        <w:rPr>
          <w:rFonts w:cs="Arial"/>
          <w:sz w:val="24"/>
          <w:szCs w:val="24"/>
        </w:rPr>
      </w:pPr>
      <w:r w:rsidRPr="00AA1182">
        <w:rPr>
          <w:rStyle w:val="FootnoteReference"/>
          <w:rFonts w:cs="Arial"/>
          <w:sz w:val="24"/>
          <w:szCs w:val="24"/>
        </w:rPr>
        <w:footnoteRef/>
      </w:r>
      <w:r w:rsidRPr="00AA1182">
        <w:rPr>
          <w:rFonts w:cs="Arial"/>
          <w:sz w:val="24"/>
          <w:szCs w:val="24"/>
        </w:rPr>
        <w:t xml:space="preserve"> (Mélanie SAMSON, «</w:t>
      </w:r>
      <w:r w:rsidR="008F4792">
        <w:rPr>
          <w:rFonts w:cs="Arial"/>
          <w:sz w:val="24"/>
          <w:szCs w:val="24"/>
        </w:rPr>
        <w:t> </w:t>
      </w:r>
      <w:r w:rsidRPr="00AA1182">
        <w:rPr>
          <w:rFonts w:cs="Arial"/>
          <w:sz w:val="24"/>
          <w:szCs w:val="24"/>
        </w:rPr>
        <w:t>Le droit à l’égalité dans l’accès aux biens et aux services</w:t>
      </w:r>
      <w:r w:rsidR="008F4792">
        <w:rPr>
          <w:rFonts w:cs="Arial"/>
          <w:sz w:val="24"/>
          <w:szCs w:val="24"/>
        </w:rPr>
        <w:t> </w:t>
      </w:r>
      <w:r w:rsidRPr="00AA1182">
        <w:rPr>
          <w:rFonts w:cs="Arial"/>
          <w:sz w:val="24"/>
          <w:szCs w:val="24"/>
        </w:rPr>
        <w:t xml:space="preserve">: l’originalité des garanties offertes par la </w:t>
      </w:r>
      <w:r w:rsidR="00020773" w:rsidRPr="00020773">
        <w:rPr>
          <w:rFonts w:cs="Arial"/>
          <w:b/>
          <w:bCs/>
          <w:sz w:val="24"/>
          <w:szCs w:val="24"/>
        </w:rPr>
        <w:t>Charte québécoise</w:t>
      </w:r>
      <w:r w:rsidR="008F4792">
        <w:rPr>
          <w:rFonts w:cs="Arial"/>
          <w:sz w:val="24"/>
          <w:szCs w:val="24"/>
        </w:rPr>
        <w:t> </w:t>
      </w:r>
      <w:r w:rsidRPr="00AA1182">
        <w:rPr>
          <w:rFonts w:cs="Arial"/>
          <w:sz w:val="24"/>
          <w:szCs w:val="24"/>
        </w:rPr>
        <w:t xml:space="preserve">» </w:t>
      </w:r>
      <w:r w:rsidR="00033E85">
        <w:rPr>
          <w:rFonts w:cs="Arial"/>
          <w:sz w:val="24"/>
          <w:szCs w:val="24"/>
        </w:rPr>
        <w:t>[</w:t>
      </w:r>
      <w:r w:rsidRPr="00AA1182">
        <w:rPr>
          <w:rFonts w:cs="Arial"/>
          <w:sz w:val="24"/>
          <w:szCs w:val="24"/>
        </w:rPr>
        <w:t>2008</w:t>
      </w:r>
      <w:r w:rsidR="00033E85">
        <w:rPr>
          <w:rFonts w:cs="Arial"/>
          <w:sz w:val="24"/>
          <w:szCs w:val="24"/>
        </w:rPr>
        <w:t>]</w:t>
      </w:r>
      <w:r w:rsidRPr="00AA1182">
        <w:rPr>
          <w:rFonts w:cs="Arial"/>
          <w:sz w:val="24"/>
          <w:szCs w:val="24"/>
        </w:rPr>
        <w:t xml:space="preserve"> 38 R.D.U.S)</w:t>
      </w:r>
    </w:p>
  </w:footnote>
  <w:footnote w:id="4">
    <w:p w14:paraId="667B43DC" w14:textId="2BDA6F59" w:rsidR="008533A0" w:rsidRPr="00AA1182" w:rsidRDefault="008533A0" w:rsidP="00AA1182">
      <w:pPr>
        <w:pStyle w:val="FootnoteText"/>
        <w:spacing w:before="120"/>
        <w:ind w:right="357"/>
        <w:rPr>
          <w:rFonts w:cs="Arial"/>
          <w:sz w:val="24"/>
          <w:szCs w:val="24"/>
        </w:rPr>
      </w:pPr>
      <w:r w:rsidRPr="00AA1182">
        <w:rPr>
          <w:rStyle w:val="FootnoteReference"/>
          <w:rFonts w:cs="Arial"/>
          <w:sz w:val="24"/>
          <w:szCs w:val="24"/>
        </w:rPr>
        <w:footnoteRef/>
      </w:r>
      <w:r w:rsidRPr="00AA1182">
        <w:rPr>
          <w:rFonts w:cs="Arial"/>
          <w:sz w:val="24"/>
          <w:szCs w:val="24"/>
        </w:rPr>
        <w:t xml:space="preserve"> </w:t>
      </w:r>
      <w:hyperlink r:id="rId1" w:history="1">
        <w:r w:rsidR="001C4264" w:rsidRPr="00AA1182">
          <w:rPr>
            <w:rStyle w:val="Hyperlink"/>
            <w:rFonts w:cs="Arial"/>
            <w:b/>
            <w:bCs/>
            <w:sz w:val="24"/>
            <w:szCs w:val="24"/>
          </w:rPr>
          <w:t>Conseil des Canadiens avec déficiences</w:t>
        </w:r>
        <w:r w:rsidR="001C4264" w:rsidRPr="00AA1182">
          <w:rPr>
            <w:rStyle w:val="Hyperlink"/>
            <w:rFonts w:cs="Arial"/>
            <w:sz w:val="24"/>
            <w:szCs w:val="24"/>
          </w:rPr>
          <w:t xml:space="preserve"> c. </w:t>
        </w:r>
        <w:r w:rsidR="001C4264" w:rsidRPr="00AA1182">
          <w:rPr>
            <w:rStyle w:val="Hyperlink"/>
            <w:rFonts w:cs="Arial"/>
            <w:b/>
            <w:bCs/>
            <w:sz w:val="24"/>
            <w:szCs w:val="24"/>
          </w:rPr>
          <w:t>VIA Rail Canada Inc.</w:t>
        </w:r>
        <w:r w:rsidR="001C4264" w:rsidRPr="00AA1182">
          <w:rPr>
            <w:rStyle w:val="Hyperlink"/>
            <w:rFonts w:cs="Arial"/>
            <w:sz w:val="24"/>
            <w:szCs w:val="24"/>
          </w:rPr>
          <w:t>, [2007] 1 R.C.S.</w:t>
        </w:r>
        <w:r w:rsidR="0047325E">
          <w:rPr>
            <w:rStyle w:val="Hyperlink"/>
            <w:rFonts w:cs="Arial"/>
            <w:sz w:val="24"/>
            <w:szCs w:val="24"/>
          </w:rPr>
          <w:t> </w:t>
        </w:r>
        <w:r w:rsidR="001C4264" w:rsidRPr="00AA1182">
          <w:rPr>
            <w:rStyle w:val="Hyperlink"/>
            <w:rFonts w:cs="Arial"/>
            <w:sz w:val="24"/>
            <w:szCs w:val="24"/>
          </w:rPr>
          <w:t>650, 2007 CSC</w:t>
        </w:r>
      </w:hyperlink>
      <w:r w:rsidR="00DE410F" w:rsidRPr="00AA1182">
        <w:rPr>
          <w:rFonts w:cs="Arial"/>
          <w:sz w:val="24"/>
          <w:szCs w:val="24"/>
        </w:rPr>
        <w:t xml:space="preserve">, </w:t>
      </w:r>
      <w:r w:rsidRPr="00AA1182">
        <w:rPr>
          <w:rFonts w:cs="Arial"/>
          <w:sz w:val="24"/>
          <w:szCs w:val="24"/>
        </w:rPr>
        <w:t>para</w:t>
      </w:r>
      <w:r w:rsidR="00DE410F" w:rsidRPr="00AA1182">
        <w:rPr>
          <w:rFonts w:cs="Arial"/>
          <w:sz w:val="24"/>
          <w:szCs w:val="24"/>
        </w:rPr>
        <w:t>graphe</w:t>
      </w:r>
      <w:r w:rsidR="0047325E">
        <w:rPr>
          <w:rFonts w:cs="Arial"/>
          <w:sz w:val="24"/>
          <w:szCs w:val="24"/>
        </w:rPr>
        <w:t> </w:t>
      </w:r>
      <w:r w:rsidRPr="00AA1182">
        <w:rPr>
          <w:rFonts w:cs="Arial"/>
          <w:sz w:val="24"/>
          <w:szCs w:val="24"/>
        </w:rPr>
        <w:t>162</w:t>
      </w:r>
      <w:r w:rsidR="00DE410F" w:rsidRPr="00AA1182">
        <w:rPr>
          <w:rFonts w:cs="Arial"/>
          <w:sz w:val="24"/>
          <w:szCs w:val="24"/>
        </w:rPr>
        <w:t>.</w:t>
      </w:r>
    </w:p>
  </w:footnote>
  <w:footnote w:id="5">
    <w:p w14:paraId="21E731C1" w14:textId="56D26732" w:rsidR="008533A0" w:rsidRPr="00AA1182" w:rsidRDefault="008533A0" w:rsidP="00AA1182">
      <w:pPr>
        <w:pStyle w:val="FootnoteText"/>
        <w:spacing w:before="120"/>
        <w:ind w:right="357"/>
        <w:rPr>
          <w:rFonts w:cs="Arial"/>
          <w:sz w:val="24"/>
          <w:szCs w:val="24"/>
        </w:rPr>
      </w:pPr>
      <w:r w:rsidRPr="00AA1182">
        <w:rPr>
          <w:rStyle w:val="FootnoteReference"/>
          <w:rFonts w:cs="Arial"/>
          <w:sz w:val="24"/>
          <w:szCs w:val="24"/>
        </w:rPr>
        <w:footnoteRef/>
      </w:r>
      <w:r w:rsidRPr="00AA1182">
        <w:rPr>
          <w:rFonts w:cs="Arial"/>
          <w:sz w:val="24"/>
          <w:szCs w:val="24"/>
        </w:rPr>
        <w:t xml:space="preserve"> </w:t>
      </w:r>
      <w:hyperlink r:id="rId2" w:history="1">
        <w:r w:rsidR="00870FC0" w:rsidRPr="00AA1182">
          <w:rPr>
            <w:rStyle w:val="Hyperlink"/>
            <w:rFonts w:cs="Arial"/>
            <w:b/>
            <w:bCs/>
            <w:sz w:val="24"/>
            <w:szCs w:val="24"/>
          </w:rPr>
          <w:t>Université Laval</w:t>
        </w:r>
        <w:r w:rsidR="00870FC0" w:rsidRPr="00AA1182">
          <w:rPr>
            <w:rStyle w:val="Hyperlink"/>
            <w:rFonts w:cs="Arial"/>
            <w:sz w:val="24"/>
            <w:szCs w:val="24"/>
          </w:rPr>
          <w:t xml:space="preserve"> c. </w:t>
        </w:r>
        <w:r w:rsidR="00870FC0" w:rsidRPr="00AA1182">
          <w:rPr>
            <w:rStyle w:val="Hyperlink"/>
            <w:rFonts w:cs="Arial"/>
            <w:b/>
            <w:bCs/>
            <w:sz w:val="24"/>
            <w:szCs w:val="24"/>
          </w:rPr>
          <w:t>Commission des droits de la personne et des droits de la jeunesse</w:t>
        </w:r>
        <w:r w:rsidR="00870FC0" w:rsidRPr="00AA1182">
          <w:rPr>
            <w:rStyle w:val="Hyperlink"/>
            <w:rFonts w:cs="Arial"/>
            <w:sz w:val="24"/>
            <w:szCs w:val="24"/>
          </w:rPr>
          <w:t>, 2005</w:t>
        </w:r>
        <w:r w:rsidR="0047325E">
          <w:rPr>
            <w:rStyle w:val="Hyperlink"/>
            <w:rFonts w:cs="Arial"/>
            <w:sz w:val="24"/>
            <w:szCs w:val="24"/>
          </w:rPr>
          <w:t> </w:t>
        </w:r>
        <w:r w:rsidR="00870FC0" w:rsidRPr="00AA1182">
          <w:rPr>
            <w:rStyle w:val="Hyperlink"/>
            <w:rFonts w:cs="Arial"/>
            <w:sz w:val="24"/>
            <w:szCs w:val="24"/>
          </w:rPr>
          <w:t>QCCA 27</w:t>
        </w:r>
      </w:hyperlink>
      <w:r w:rsidR="00870FC0" w:rsidRPr="00AA1182">
        <w:rPr>
          <w:rFonts w:cs="Arial"/>
          <w:sz w:val="24"/>
          <w:szCs w:val="24"/>
        </w:rPr>
        <w:t xml:space="preserve">, </w:t>
      </w:r>
      <w:r w:rsidRPr="00AA1182">
        <w:rPr>
          <w:rFonts w:cs="Arial"/>
          <w:sz w:val="24"/>
          <w:szCs w:val="24"/>
        </w:rPr>
        <w:t>para</w:t>
      </w:r>
      <w:r w:rsidR="00870FC0" w:rsidRPr="00AA1182">
        <w:rPr>
          <w:rFonts w:cs="Arial"/>
          <w:sz w:val="24"/>
          <w:szCs w:val="24"/>
        </w:rPr>
        <w:t>graphe</w:t>
      </w:r>
      <w:r w:rsidR="0047325E">
        <w:rPr>
          <w:rFonts w:cs="Arial"/>
          <w:sz w:val="24"/>
          <w:szCs w:val="24"/>
        </w:rPr>
        <w:t> </w:t>
      </w:r>
      <w:r w:rsidRPr="00AA1182">
        <w:rPr>
          <w:rFonts w:cs="Arial"/>
          <w:sz w:val="24"/>
          <w:szCs w:val="24"/>
        </w:rPr>
        <w:t>120).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A4D0" w14:textId="77777777" w:rsidR="00871814" w:rsidRDefault="00871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C59D" w14:textId="77777777" w:rsidR="00871814" w:rsidRDefault="008718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E8C1" w14:textId="77777777" w:rsidR="00871814" w:rsidRDefault="00871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D657137"/>
    <w:multiLevelType w:val="hybridMultilevel"/>
    <w:tmpl w:val="C7A820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5420625"/>
    <w:multiLevelType w:val="hybridMultilevel"/>
    <w:tmpl w:val="C4ACAF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4B1095"/>
    <w:multiLevelType w:val="hybridMultilevel"/>
    <w:tmpl w:val="7F520594"/>
    <w:lvl w:ilvl="0" w:tplc="7DC68E52">
      <w:start w:val="6"/>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C57D46"/>
    <w:multiLevelType w:val="hybridMultilevel"/>
    <w:tmpl w:val="7F229B18"/>
    <w:lvl w:ilvl="0" w:tplc="141830A4">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DB313BB"/>
    <w:multiLevelType w:val="hybridMultilevel"/>
    <w:tmpl w:val="2E0A7B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58E1A61"/>
    <w:multiLevelType w:val="hybridMultilevel"/>
    <w:tmpl w:val="5524A0C4"/>
    <w:lvl w:ilvl="0" w:tplc="0C0C000F">
      <w:start w:val="1"/>
      <w:numFmt w:val="decimal"/>
      <w:lvlText w:val="%1."/>
      <w:lvlJc w:val="left"/>
      <w:pPr>
        <w:ind w:left="801" w:hanging="360"/>
      </w:pPr>
    </w:lvl>
    <w:lvl w:ilvl="1" w:tplc="0C0C0019" w:tentative="1">
      <w:start w:val="1"/>
      <w:numFmt w:val="lowerLetter"/>
      <w:lvlText w:val="%2."/>
      <w:lvlJc w:val="left"/>
      <w:pPr>
        <w:ind w:left="1521" w:hanging="360"/>
      </w:pPr>
    </w:lvl>
    <w:lvl w:ilvl="2" w:tplc="0C0C001B" w:tentative="1">
      <w:start w:val="1"/>
      <w:numFmt w:val="lowerRoman"/>
      <w:lvlText w:val="%3."/>
      <w:lvlJc w:val="right"/>
      <w:pPr>
        <w:ind w:left="2241" w:hanging="180"/>
      </w:pPr>
    </w:lvl>
    <w:lvl w:ilvl="3" w:tplc="0C0C000F" w:tentative="1">
      <w:start w:val="1"/>
      <w:numFmt w:val="decimal"/>
      <w:lvlText w:val="%4."/>
      <w:lvlJc w:val="left"/>
      <w:pPr>
        <w:ind w:left="2961" w:hanging="360"/>
      </w:pPr>
    </w:lvl>
    <w:lvl w:ilvl="4" w:tplc="0C0C0019" w:tentative="1">
      <w:start w:val="1"/>
      <w:numFmt w:val="lowerLetter"/>
      <w:lvlText w:val="%5."/>
      <w:lvlJc w:val="left"/>
      <w:pPr>
        <w:ind w:left="3681" w:hanging="360"/>
      </w:pPr>
    </w:lvl>
    <w:lvl w:ilvl="5" w:tplc="0C0C001B" w:tentative="1">
      <w:start w:val="1"/>
      <w:numFmt w:val="lowerRoman"/>
      <w:lvlText w:val="%6."/>
      <w:lvlJc w:val="right"/>
      <w:pPr>
        <w:ind w:left="4401" w:hanging="180"/>
      </w:pPr>
    </w:lvl>
    <w:lvl w:ilvl="6" w:tplc="0C0C000F" w:tentative="1">
      <w:start w:val="1"/>
      <w:numFmt w:val="decimal"/>
      <w:lvlText w:val="%7."/>
      <w:lvlJc w:val="left"/>
      <w:pPr>
        <w:ind w:left="5121" w:hanging="360"/>
      </w:pPr>
    </w:lvl>
    <w:lvl w:ilvl="7" w:tplc="0C0C0019" w:tentative="1">
      <w:start w:val="1"/>
      <w:numFmt w:val="lowerLetter"/>
      <w:lvlText w:val="%8."/>
      <w:lvlJc w:val="left"/>
      <w:pPr>
        <w:ind w:left="5841" w:hanging="360"/>
      </w:pPr>
    </w:lvl>
    <w:lvl w:ilvl="8" w:tplc="0C0C001B" w:tentative="1">
      <w:start w:val="1"/>
      <w:numFmt w:val="lowerRoman"/>
      <w:lvlText w:val="%9."/>
      <w:lvlJc w:val="right"/>
      <w:pPr>
        <w:ind w:left="6561" w:hanging="180"/>
      </w:pPr>
    </w:lvl>
  </w:abstractNum>
  <w:num w:numId="1">
    <w:abstractNumId w:val="0"/>
  </w:num>
  <w:num w:numId="2">
    <w:abstractNumId w:val="12"/>
  </w:num>
  <w:num w:numId="3">
    <w:abstractNumId w:val="2"/>
  </w:num>
  <w:num w:numId="4">
    <w:abstractNumId w:val="9"/>
  </w:num>
  <w:num w:numId="5">
    <w:abstractNumId w:val="13"/>
  </w:num>
  <w:num w:numId="6">
    <w:abstractNumId w:val="4"/>
  </w:num>
  <w:num w:numId="7">
    <w:abstractNumId w:val="7"/>
  </w:num>
  <w:num w:numId="8">
    <w:abstractNumId w:val="3"/>
  </w:num>
  <w:num w:numId="9">
    <w:abstractNumId w:val="16"/>
  </w:num>
  <w:num w:numId="10">
    <w:abstractNumId w:val="14"/>
  </w:num>
  <w:num w:numId="11">
    <w:abstractNumId w:val="15"/>
  </w:num>
  <w:num w:numId="12">
    <w:abstractNumId w:val="1"/>
  </w:num>
  <w:num w:numId="13">
    <w:abstractNumId w:val="8"/>
  </w:num>
  <w:num w:numId="14">
    <w:abstractNumId w:val="6"/>
  </w:num>
  <w:num w:numId="15">
    <w:abstractNumId w:val="17"/>
  </w:num>
  <w:num w:numId="16">
    <w:abstractNumId w:val="10"/>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075B"/>
    <w:rsid w:val="000047AD"/>
    <w:rsid w:val="00011EC2"/>
    <w:rsid w:val="000178CB"/>
    <w:rsid w:val="00020773"/>
    <w:rsid w:val="00033E85"/>
    <w:rsid w:val="000378F0"/>
    <w:rsid w:val="00040D9C"/>
    <w:rsid w:val="000532BD"/>
    <w:rsid w:val="00065870"/>
    <w:rsid w:val="00070F4C"/>
    <w:rsid w:val="00072310"/>
    <w:rsid w:val="0007327E"/>
    <w:rsid w:val="00074AFA"/>
    <w:rsid w:val="00074D96"/>
    <w:rsid w:val="00076299"/>
    <w:rsid w:val="000905A1"/>
    <w:rsid w:val="000B1D16"/>
    <w:rsid w:val="000B268E"/>
    <w:rsid w:val="000B36A0"/>
    <w:rsid w:val="000B763C"/>
    <w:rsid w:val="000C14DD"/>
    <w:rsid w:val="000D0D83"/>
    <w:rsid w:val="000D2C45"/>
    <w:rsid w:val="000D3A1C"/>
    <w:rsid w:val="000D5268"/>
    <w:rsid w:val="000D5407"/>
    <w:rsid w:val="000E6D59"/>
    <w:rsid w:val="000E70BE"/>
    <w:rsid w:val="000F4B21"/>
    <w:rsid w:val="000F516E"/>
    <w:rsid w:val="000F68EB"/>
    <w:rsid w:val="00102DBF"/>
    <w:rsid w:val="00104F2B"/>
    <w:rsid w:val="00107A80"/>
    <w:rsid w:val="0011026F"/>
    <w:rsid w:val="001118E2"/>
    <w:rsid w:val="001119B5"/>
    <w:rsid w:val="00115AA8"/>
    <w:rsid w:val="00130FA4"/>
    <w:rsid w:val="00144702"/>
    <w:rsid w:val="0015125E"/>
    <w:rsid w:val="00152B25"/>
    <w:rsid w:val="00156B18"/>
    <w:rsid w:val="001577C6"/>
    <w:rsid w:val="001620FA"/>
    <w:rsid w:val="001757FF"/>
    <w:rsid w:val="00181D7A"/>
    <w:rsid w:val="0019562A"/>
    <w:rsid w:val="001A3195"/>
    <w:rsid w:val="001B7317"/>
    <w:rsid w:val="001C425F"/>
    <w:rsid w:val="001C4264"/>
    <w:rsid w:val="001C61AB"/>
    <w:rsid w:val="001D08F3"/>
    <w:rsid w:val="001D27A4"/>
    <w:rsid w:val="001D2A30"/>
    <w:rsid w:val="001D7306"/>
    <w:rsid w:val="001E2E74"/>
    <w:rsid w:val="001E3ED5"/>
    <w:rsid w:val="001E6BC2"/>
    <w:rsid w:val="002011A0"/>
    <w:rsid w:val="00214AD7"/>
    <w:rsid w:val="002250FE"/>
    <w:rsid w:val="0023169C"/>
    <w:rsid w:val="00234321"/>
    <w:rsid w:val="00237591"/>
    <w:rsid w:val="00242E80"/>
    <w:rsid w:val="00250CEE"/>
    <w:rsid w:val="00260D97"/>
    <w:rsid w:val="002727CC"/>
    <w:rsid w:val="00275080"/>
    <w:rsid w:val="00277362"/>
    <w:rsid w:val="0028121B"/>
    <w:rsid w:val="00284ABB"/>
    <w:rsid w:val="002967B0"/>
    <w:rsid w:val="002A4365"/>
    <w:rsid w:val="002C136B"/>
    <w:rsid w:val="002C204D"/>
    <w:rsid w:val="002C435D"/>
    <w:rsid w:val="002D60A6"/>
    <w:rsid w:val="002F2043"/>
    <w:rsid w:val="002F32B3"/>
    <w:rsid w:val="003039D0"/>
    <w:rsid w:val="0030621A"/>
    <w:rsid w:val="00306817"/>
    <w:rsid w:val="00313797"/>
    <w:rsid w:val="0032327C"/>
    <w:rsid w:val="003264F6"/>
    <w:rsid w:val="00327512"/>
    <w:rsid w:val="00331632"/>
    <w:rsid w:val="00340910"/>
    <w:rsid w:val="00341692"/>
    <w:rsid w:val="00341B1F"/>
    <w:rsid w:val="00352292"/>
    <w:rsid w:val="003527CD"/>
    <w:rsid w:val="003570D2"/>
    <w:rsid w:val="003744A4"/>
    <w:rsid w:val="00383FE2"/>
    <w:rsid w:val="00393EB4"/>
    <w:rsid w:val="003942F9"/>
    <w:rsid w:val="0039766A"/>
    <w:rsid w:val="003977B1"/>
    <w:rsid w:val="003A1BEA"/>
    <w:rsid w:val="003A2083"/>
    <w:rsid w:val="003C7E8F"/>
    <w:rsid w:val="003D0781"/>
    <w:rsid w:val="003D3A35"/>
    <w:rsid w:val="003E2B33"/>
    <w:rsid w:val="003E3FD4"/>
    <w:rsid w:val="003F7FA0"/>
    <w:rsid w:val="00413924"/>
    <w:rsid w:val="0041681F"/>
    <w:rsid w:val="00423D86"/>
    <w:rsid w:val="00425214"/>
    <w:rsid w:val="004277B6"/>
    <w:rsid w:val="004377FC"/>
    <w:rsid w:val="00440119"/>
    <w:rsid w:val="00447184"/>
    <w:rsid w:val="00447E3E"/>
    <w:rsid w:val="00450ABF"/>
    <w:rsid w:val="00450E55"/>
    <w:rsid w:val="00465863"/>
    <w:rsid w:val="004675CE"/>
    <w:rsid w:val="004715E2"/>
    <w:rsid w:val="0047325E"/>
    <w:rsid w:val="00474133"/>
    <w:rsid w:val="004770D5"/>
    <w:rsid w:val="0048103B"/>
    <w:rsid w:val="00486924"/>
    <w:rsid w:val="00486A5F"/>
    <w:rsid w:val="00486E10"/>
    <w:rsid w:val="0049216D"/>
    <w:rsid w:val="004955F4"/>
    <w:rsid w:val="00496AD5"/>
    <w:rsid w:val="004A5767"/>
    <w:rsid w:val="004B0935"/>
    <w:rsid w:val="004B0EB2"/>
    <w:rsid w:val="004B5884"/>
    <w:rsid w:val="004C72D7"/>
    <w:rsid w:val="004C7F6E"/>
    <w:rsid w:val="004E15E4"/>
    <w:rsid w:val="004E4B38"/>
    <w:rsid w:val="004F59B2"/>
    <w:rsid w:val="00501C75"/>
    <w:rsid w:val="00503090"/>
    <w:rsid w:val="00512C84"/>
    <w:rsid w:val="00521A9F"/>
    <w:rsid w:val="00523EC2"/>
    <w:rsid w:val="00527F76"/>
    <w:rsid w:val="00532377"/>
    <w:rsid w:val="00534B17"/>
    <w:rsid w:val="00534FBF"/>
    <w:rsid w:val="005364EB"/>
    <w:rsid w:val="0055189B"/>
    <w:rsid w:val="00553E43"/>
    <w:rsid w:val="00561D75"/>
    <w:rsid w:val="00571E5A"/>
    <w:rsid w:val="00572506"/>
    <w:rsid w:val="005748BB"/>
    <w:rsid w:val="00582BFD"/>
    <w:rsid w:val="0059099D"/>
    <w:rsid w:val="00591D86"/>
    <w:rsid w:val="005A24F8"/>
    <w:rsid w:val="005A69F9"/>
    <w:rsid w:val="005B4F5C"/>
    <w:rsid w:val="005B5AFC"/>
    <w:rsid w:val="005B67AE"/>
    <w:rsid w:val="005D19D0"/>
    <w:rsid w:val="005E0DE1"/>
    <w:rsid w:val="005E5548"/>
    <w:rsid w:val="005F1284"/>
    <w:rsid w:val="005F5CF5"/>
    <w:rsid w:val="00600854"/>
    <w:rsid w:val="00602B2A"/>
    <w:rsid w:val="0060424E"/>
    <w:rsid w:val="00607928"/>
    <w:rsid w:val="00610782"/>
    <w:rsid w:val="0061494A"/>
    <w:rsid w:val="006324A9"/>
    <w:rsid w:val="00637427"/>
    <w:rsid w:val="00637960"/>
    <w:rsid w:val="00643712"/>
    <w:rsid w:val="006517C9"/>
    <w:rsid w:val="00651AEF"/>
    <w:rsid w:val="0066237F"/>
    <w:rsid w:val="006654F6"/>
    <w:rsid w:val="00675802"/>
    <w:rsid w:val="006872FA"/>
    <w:rsid w:val="00695010"/>
    <w:rsid w:val="006968BF"/>
    <w:rsid w:val="006973DA"/>
    <w:rsid w:val="006A25EF"/>
    <w:rsid w:val="006A34D5"/>
    <w:rsid w:val="006A44DD"/>
    <w:rsid w:val="006A6199"/>
    <w:rsid w:val="006A7AFE"/>
    <w:rsid w:val="006B70A7"/>
    <w:rsid w:val="006C7C6D"/>
    <w:rsid w:val="006D480A"/>
    <w:rsid w:val="006D6D63"/>
    <w:rsid w:val="006D738C"/>
    <w:rsid w:val="006D79AE"/>
    <w:rsid w:val="006E08D4"/>
    <w:rsid w:val="006F019F"/>
    <w:rsid w:val="006F6F1B"/>
    <w:rsid w:val="00705C84"/>
    <w:rsid w:val="00720610"/>
    <w:rsid w:val="00723BB2"/>
    <w:rsid w:val="00726115"/>
    <w:rsid w:val="007304B9"/>
    <w:rsid w:val="00732AE4"/>
    <w:rsid w:val="007418B4"/>
    <w:rsid w:val="007424DE"/>
    <w:rsid w:val="00743121"/>
    <w:rsid w:val="00754E3C"/>
    <w:rsid w:val="00755DE6"/>
    <w:rsid w:val="00761C4A"/>
    <w:rsid w:val="007631FC"/>
    <w:rsid w:val="00764E49"/>
    <w:rsid w:val="00765CD8"/>
    <w:rsid w:val="00773F39"/>
    <w:rsid w:val="007879A2"/>
    <w:rsid w:val="007901C8"/>
    <w:rsid w:val="00790784"/>
    <w:rsid w:val="0079351F"/>
    <w:rsid w:val="007A02EC"/>
    <w:rsid w:val="007A7428"/>
    <w:rsid w:val="007B5B08"/>
    <w:rsid w:val="007C3164"/>
    <w:rsid w:val="007E18EF"/>
    <w:rsid w:val="007E36E4"/>
    <w:rsid w:val="007E483C"/>
    <w:rsid w:val="007F114E"/>
    <w:rsid w:val="007F3BE6"/>
    <w:rsid w:val="007F56C6"/>
    <w:rsid w:val="007F6229"/>
    <w:rsid w:val="007F7C90"/>
    <w:rsid w:val="00801707"/>
    <w:rsid w:val="00805CA8"/>
    <w:rsid w:val="008122FA"/>
    <w:rsid w:val="008155B3"/>
    <w:rsid w:val="0082267B"/>
    <w:rsid w:val="00823FC0"/>
    <w:rsid w:val="00836452"/>
    <w:rsid w:val="0084533F"/>
    <w:rsid w:val="008533A0"/>
    <w:rsid w:val="008565E0"/>
    <w:rsid w:val="00866148"/>
    <w:rsid w:val="00870FC0"/>
    <w:rsid w:val="00871814"/>
    <w:rsid w:val="008746C3"/>
    <w:rsid w:val="008812BF"/>
    <w:rsid w:val="0088192D"/>
    <w:rsid w:val="008834E1"/>
    <w:rsid w:val="00885B39"/>
    <w:rsid w:val="008954FC"/>
    <w:rsid w:val="00896134"/>
    <w:rsid w:val="008A24A3"/>
    <w:rsid w:val="008A2CBB"/>
    <w:rsid w:val="008A6AC4"/>
    <w:rsid w:val="008B4953"/>
    <w:rsid w:val="008B53F1"/>
    <w:rsid w:val="008C6386"/>
    <w:rsid w:val="008C68B8"/>
    <w:rsid w:val="008D4C92"/>
    <w:rsid w:val="008E40E9"/>
    <w:rsid w:val="008E756B"/>
    <w:rsid w:val="008E7776"/>
    <w:rsid w:val="008F3364"/>
    <w:rsid w:val="008F43A4"/>
    <w:rsid w:val="008F4792"/>
    <w:rsid w:val="008F4E2F"/>
    <w:rsid w:val="00903C4D"/>
    <w:rsid w:val="00907759"/>
    <w:rsid w:val="0091055A"/>
    <w:rsid w:val="00910C26"/>
    <w:rsid w:val="00911325"/>
    <w:rsid w:val="00911907"/>
    <w:rsid w:val="00921FA0"/>
    <w:rsid w:val="00923706"/>
    <w:rsid w:val="00926FB2"/>
    <w:rsid w:val="00965D65"/>
    <w:rsid w:val="0096616D"/>
    <w:rsid w:val="009662CA"/>
    <w:rsid w:val="00970B57"/>
    <w:rsid w:val="00970D05"/>
    <w:rsid w:val="00971ACE"/>
    <w:rsid w:val="009772AA"/>
    <w:rsid w:val="00977DB8"/>
    <w:rsid w:val="00983E55"/>
    <w:rsid w:val="0099217B"/>
    <w:rsid w:val="009958B7"/>
    <w:rsid w:val="00995B42"/>
    <w:rsid w:val="00997A81"/>
    <w:rsid w:val="009A318D"/>
    <w:rsid w:val="009A5AB1"/>
    <w:rsid w:val="009A778C"/>
    <w:rsid w:val="009B7283"/>
    <w:rsid w:val="009C5BF6"/>
    <w:rsid w:val="009C7EF0"/>
    <w:rsid w:val="009D1552"/>
    <w:rsid w:val="009D2A9E"/>
    <w:rsid w:val="009E5B4F"/>
    <w:rsid w:val="009F24E2"/>
    <w:rsid w:val="009F3187"/>
    <w:rsid w:val="009F56BB"/>
    <w:rsid w:val="009F6F1F"/>
    <w:rsid w:val="00A054C9"/>
    <w:rsid w:val="00A25E58"/>
    <w:rsid w:val="00A35EEA"/>
    <w:rsid w:val="00A360E9"/>
    <w:rsid w:val="00A4141E"/>
    <w:rsid w:val="00A442F9"/>
    <w:rsid w:val="00A53CC5"/>
    <w:rsid w:val="00A60458"/>
    <w:rsid w:val="00A62582"/>
    <w:rsid w:val="00A62B71"/>
    <w:rsid w:val="00A71CFE"/>
    <w:rsid w:val="00A80796"/>
    <w:rsid w:val="00A86BE0"/>
    <w:rsid w:val="00AA1182"/>
    <w:rsid w:val="00AA509D"/>
    <w:rsid w:val="00AA615E"/>
    <w:rsid w:val="00AB1A97"/>
    <w:rsid w:val="00AB4DB4"/>
    <w:rsid w:val="00AC6B05"/>
    <w:rsid w:val="00AC7C13"/>
    <w:rsid w:val="00AD3593"/>
    <w:rsid w:val="00AD688F"/>
    <w:rsid w:val="00AF0156"/>
    <w:rsid w:val="00B00C20"/>
    <w:rsid w:val="00B00F2E"/>
    <w:rsid w:val="00B014CD"/>
    <w:rsid w:val="00B03DAB"/>
    <w:rsid w:val="00B1480F"/>
    <w:rsid w:val="00B22AC9"/>
    <w:rsid w:val="00B24417"/>
    <w:rsid w:val="00B2471F"/>
    <w:rsid w:val="00B3110A"/>
    <w:rsid w:val="00B33359"/>
    <w:rsid w:val="00B34E87"/>
    <w:rsid w:val="00B3633C"/>
    <w:rsid w:val="00B42A9B"/>
    <w:rsid w:val="00B46365"/>
    <w:rsid w:val="00B5140A"/>
    <w:rsid w:val="00B62FA4"/>
    <w:rsid w:val="00B64924"/>
    <w:rsid w:val="00B81533"/>
    <w:rsid w:val="00B81BF8"/>
    <w:rsid w:val="00B87C92"/>
    <w:rsid w:val="00BA41B2"/>
    <w:rsid w:val="00BA5BF3"/>
    <w:rsid w:val="00BA6B06"/>
    <w:rsid w:val="00BB1F2F"/>
    <w:rsid w:val="00BB2217"/>
    <w:rsid w:val="00BB5586"/>
    <w:rsid w:val="00BB7E2B"/>
    <w:rsid w:val="00BD2EF3"/>
    <w:rsid w:val="00BE38B1"/>
    <w:rsid w:val="00BE4A73"/>
    <w:rsid w:val="00BE5592"/>
    <w:rsid w:val="00BF2642"/>
    <w:rsid w:val="00BF4EC1"/>
    <w:rsid w:val="00BF6CE7"/>
    <w:rsid w:val="00BF758E"/>
    <w:rsid w:val="00C0127F"/>
    <w:rsid w:val="00C04A0D"/>
    <w:rsid w:val="00C14E3C"/>
    <w:rsid w:val="00C22EE0"/>
    <w:rsid w:val="00C30362"/>
    <w:rsid w:val="00C36DEF"/>
    <w:rsid w:val="00C3710E"/>
    <w:rsid w:val="00C41A86"/>
    <w:rsid w:val="00C43C2C"/>
    <w:rsid w:val="00C443EF"/>
    <w:rsid w:val="00C55428"/>
    <w:rsid w:val="00C62255"/>
    <w:rsid w:val="00C7085C"/>
    <w:rsid w:val="00C75711"/>
    <w:rsid w:val="00C7733C"/>
    <w:rsid w:val="00C80FA3"/>
    <w:rsid w:val="00C81861"/>
    <w:rsid w:val="00C837BC"/>
    <w:rsid w:val="00C842AE"/>
    <w:rsid w:val="00C85765"/>
    <w:rsid w:val="00C911F0"/>
    <w:rsid w:val="00CA3FE6"/>
    <w:rsid w:val="00CA6EAF"/>
    <w:rsid w:val="00CB59AB"/>
    <w:rsid w:val="00CB7E6E"/>
    <w:rsid w:val="00CB7FAA"/>
    <w:rsid w:val="00CD1C05"/>
    <w:rsid w:val="00CD4117"/>
    <w:rsid w:val="00CD48FC"/>
    <w:rsid w:val="00CD548A"/>
    <w:rsid w:val="00CD7954"/>
    <w:rsid w:val="00CE410C"/>
    <w:rsid w:val="00CE516E"/>
    <w:rsid w:val="00CF6E48"/>
    <w:rsid w:val="00CF6E94"/>
    <w:rsid w:val="00D0140C"/>
    <w:rsid w:val="00D071A3"/>
    <w:rsid w:val="00D16933"/>
    <w:rsid w:val="00D24A1E"/>
    <w:rsid w:val="00D251C3"/>
    <w:rsid w:val="00D25BCE"/>
    <w:rsid w:val="00D26C63"/>
    <w:rsid w:val="00D349EC"/>
    <w:rsid w:val="00D44E98"/>
    <w:rsid w:val="00D45134"/>
    <w:rsid w:val="00D51D6E"/>
    <w:rsid w:val="00D53589"/>
    <w:rsid w:val="00D54E63"/>
    <w:rsid w:val="00D64FCC"/>
    <w:rsid w:val="00D67160"/>
    <w:rsid w:val="00D758AB"/>
    <w:rsid w:val="00D8095C"/>
    <w:rsid w:val="00D8775A"/>
    <w:rsid w:val="00D96C48"/>
    <w:rsid w:val="00DA505B"/>
    <w:rsid w:val="00DA5928"/>
    <w:rsid w:val="00DB097D"/>
    <w:rsid w:val="00DB249F"/>
    <w:rsid w:val="00DC25F1"/>
    <w:rsid w:val="00DC2A30"/>
    <w:rsid w:val="00DC3FC9"/>
    <w:rsid w:val="00DD064C"/>
    <w:rsid w:val="00DD3B0B"/>
    <w:rsid w:val="00DE410F"/>
    <w:rsid w:val="00DF4FDD"/>
    <w:rsid w:val="00E03B67"/>
    <w:rsid w:val="00E07441"/>
    <w:rsid w:val="00E158E1"/>
    <w:rsid w:val="00E159F9"/>
    <w:rsid w:val="00E1623C"/>
    <w:rsid w:val="00E228E7"/>
    <w:rsid w:val="00E41F7E"/>
    <w:rsid w:val="00E46D2E"/>
    <w:rsid w:val="00E54C27"/>
    <w:rsid w:val="00E6273A"/>
    <w:rsid w:val="00E62BDA"/>
    <w:rsid w:val="00E76E66"/>
    <w:rsid w:val="00E77243"/>
    <w:rsid w:val="00E775AB"/>
    <w:rsid w:val="00E8030F"/>
    <w:rsid w:val="00E9021C"/>
    <w:rsid w:val="00E96082"/>
    <w:rsid w:val="00E97967"/>
    <w:rsid w:val="00EA369F"/>
    <w:rsid w:val="00EA6C71"/>
    <w:rsid w:val="00EB08C5"/>
    <w:rsid w:val="00EB1FF1"/>
    <w:rsid w:val="00EB5EE4"/>
    <w:rsid w:val="00EC3534"/>
    <w:rsid w:val="00EC5C52"/>
    <w:rsid w:val="00ED7CEA"/>
    <w:rsid w:val="00EE4E2D"/>
    <w:rsid w:val="00F00BAD"/>
    <w:rsid w:val="00F06395"/>
    <w:rsid w:val="00F072D8"/>
    <w:rsid w:val="00F1088F"/>
    <w:rsid w:val="00F16DFA"/>
    <w:rsid w:val="00F23D25"/>
    <w:rsid w:val="00F246AF"/>
    <w:rsid w:val="00F303BE"/>
    <w:rsid w:val="00F3227C"/>
    <w:rsid w:val="00F34655"/>
    <w:rsid w:val="00F36FCF"/>
    <w:rsid w:val="00F44D3D"/>
    <w:rsid w:val="00F458AB"/>
    <w:rsid w:val="00F53E52"/>
    <w:rsid w:val="00F57442"/>
    <w:rsid w:val="00F60DF4"/>
    <w:rsid w:val="00F63595"/>
    <w:rsid w:val="00F65C23"/>
    <w:rsid w:val="00F65F04"/>
    <w:rsid w:val="00F70A2B"/>
    <w:rsid w:val="00F71149"/>
    <w:rsid w:val="00F815A0"/>
    <w:rsid w:val="00F8603A"/>
    <w:rsid w:val="00F9187C"/>
    <w:rsid w:val="00F922B6"/>
    <w:rsid w:val="00FA7665"/>
    <w:rsid w:val="00FC1325"/>
    <w:rsid w:val="00FC4AAB"/>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5F1284"/>
    <w:pPr>
      <w:keepNext/>
      <w:keepLines/>
      <w:spacing w:before="240" w:after="0"/>
      <w:outlineLvl w:val="0"/>
    </w:pPr>
    <w:rPr>
      <w:rFonts w:ascii="Arial Black" w:eastAsiaTheme="majorEastAsia" w:hAnsi="Arial Black" w:cstheme="majorBidi"/>
      <w:sz w:val="56"/>
      <w:szCs w:val="32"/>
    </w:rPr>
  </w:style>
  <w:style w:type="paragraph" w:styleId="Heading2">
    <w:name w:val="heading 2"/>
    <w:basedOn w:val="Normal"/>
    <w:next w:val="Normal"/>
    <w:link w:val="Heading2Char"/>
    <w:uiPriority w:val="9"/>
    <w:unhideWhenUsed/>
    <w:qFormat/>
    <w:rsid w:val="005F1284"/>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5F1284"/>
    <w:pPr>
      <w:keepNext/>
      <w:keepLines/>
      <w:spacing w:before="40" w:after="0"/>
      <w:outlineLvl w:val="2"/>
    </w:pPr>
    <w:rPr>
      <w:rFonts w:ascii="Arial Black" w:eastAsiaTheme="majorEastAsia" w:hAnsi="Arial Black" w:cstheme="majorBidi"/>
      <w:sz w:val="44"/>
      <w:szCs w:val="24"/>
    </w:rPr>
  </w:style>
  <w:style w:type="paragraph" w:styleId="Heading4">
    <w:name w:val="heading 4"/>
    <w:basedOn w:val="Normal"/>
    <w:next w:val="Normal"/>
    <w:link w:val="Heading4Char"/>
    <w:uiPriority w:val="9"/>
    <w:unhideWhenUsed/>
    <w:qFormat/>
    <w:rsid w:val="005F1284"/>
    <w:pPr>
      <w:keepNext/>
      <w:keepLines/>
      <w:spacing w:before="40" w:after="0"/>
      <w:outlineLvl w:val="3"/>
    </w:pPr>
    <w:rPr>
      <w:rFonts w:ascii="Arial Black" w:eastAsiaTheme="majorEastAsia" w:hAnsi="Arial Black" w:cstheme="majorBidi"/>
      <w:iCs/>
      <w:sz w:val="40"/>
    </w:rPr>
  </w:style>
  <w:style w:type="paragraph" w:styleId="Heading5">
    <w:name w:val="heading 5"/>
    <w:basedOn w:val="Normal"/>
    <w:next w:val="Normal"/>
    <w:link w:val="Heading5Char"/>
    <w:uiPriority w:val="9"/>
    <w:semiHidden/>
    <w:unhideWhenUsed/>
    <w:qFormat/>
    <w:rsid w:val="005F1284"/>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5F1284"/>
    <w:rPr>
      <w:rFonts w:ascii="Arial Black" w:eastAsiaTheme="majorEastAsia" w:hAnsi="Arial Black" w:cstheme="majorBidi"/>
      <w:sz w:val="56"/>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5F1284"/>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5F1284"/>
    <w:rPr>
      <w:rFonts w:ascii="Arial Black" w:eastAsiaTheme="majorEastAsia" w:hAnsi="Arial Black" w:cstheme="majorBidi"/>
      <w:sz w:val="44"/>
      <w:szCs w:val="24"/>
    </w:rPr>
  </w:style>
  <w:style w:type="character" w:customStyle="1" w:styleId="Heading4Char">
    <w:name w:val="Heading 4 Char"/>
    <w:basedOn w:val="DefaultParagraphFont"/>
    <w:link w:val="Heading4"/>
    <w:uiPriority w:val="9"/>
    <w:rsid w:val="005F1284"/>
    <w:rPr>
      <w:rFonts w:ascii="Arial Black" w:eastAsiaTheme="majorEastAsia" w:hAnsi="Arial Black" w:cstheme="majorBidi"/>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paragraph" w:styleId="NoSpacing">
    <w:name w:val="No Spacing"/>
    <w:uiPriority w:val="1"/>
    <w:qFormat/>
    <w:rsid w:val="00CD548A"/>
    <w:pPr>
      <w:spacing w:after="0" w:line="240" w:lineRule="auto"/>
    </w:pPr>
    <w:rPr>
      <w:rFonts w:ascii="Arial" w:hAnsi="Arial"/>
      <w:sz w:val="28"/>
    </w:rPr>
  </w:style>
  <w:style w:type="character" w:customStyle="1" w:styleId="Heading5Char">
    <w:name w:val="Heading 5 Char"/>
    <w:basedOn w:val="DefaultParagraphFont"/>
    <w:link w:val="Heading5"/>
    <w:uiPriority w:val="9"/>
    <w:semiHidden/>
    <w:rsid w:val="005F1284"/>
    <w:rPr>
      <w:rFonts w:ascii="Arial Black" w:eastAsiaTheme="majorEastAsia" w:hAnsi="Arial Black" w:cstheme="majorBidi"/>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8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nq.org/" TargetMode="External"/><Relationship Id="rId18" Type="http://schemas.openxmlformats.org/officeDocument/2006/relationships/hyperlink" Target="https://inca.ca/fr/defense-de-vos-droits-et-information-juridique-essentielle?region=qc" TargetMode="External"/><Relationship Id="rId26" Type="http://schemas.openxmlformats.org/officeDocument/2006/relationships/hyperlink" Target="https://www.tbs-sct.gc.ca/pol/doc-fra.aspx?id=23601"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protecteurducitoyen.qc.ca/fr/porter-plainte/formulaires-de-plainte" TargetMode="External"/><Relationship Id="rId34" Type="http://schemas.openxmlformats.org/officeDocument/2006/relationships/hyperlink" Target="https://cnib.ca/fr/programmes-et-services/vivre/chiens-guides-dinca/pour-les-proprietaires-de-chiens-guides/voyager-1?region=gta"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nca.ca/fr/droitsdevant" TargetMode="External"/><Relationship Id="rId17" Type="http://schemas.openxmlformats.org/officeDocument/2006/relationships/hyperlink" Target="https://inca.ca/fr/defense-de-vos-droits-et-information-juridique-essentielle?region=qc" TargetMode="External"/><Relationship Id="rId25" Type="http://schemas.openxmlformats.org/officeDocument/2006/relationships/hyperlink" Target="https://www.quebec.ca/nous-joindre/courriel/" TargetMode="External"/><Relationship Id="rId33" Type="http://schemas.openxmlformats.org/officeDocument/2006/relationships/hyperlink" Target="https://www.bemyeyes.co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anada.ca/fr/emploi-developpement-social/programmes/accessible-personnes-handicapees/loi-resume.html" TargetMode="External"/><Relationship Id="rId20" Type="http://schemas.openxmlformats.org/officeDocument/2006/relationships/hyperlink" Target="https://www.opc.gouv.qc.ca/consommateur/probleme-commercant/plainte/" TargetMode="External"/><Relationship Id="rId29" Type="http://schemas.openxmlformats.org/officeDocument/2006/relationships/hyperlink" Target="https://inca.ca/fr/carte-inca?region=qc"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ca.ca/fr?region=qc" TargetMode="External"/><Relationship Id="rId24" Type="http://schemas.openxmlformats.org/officeDocument/2006/relationships/hyperlink" Target="mailto:info@quebec.ca?subject=Am&#233;liorations%20n&#233;cessaires%20&#224;%20l'accessibilit&#233;%20d'un%20de%20vos%20sites" TargetMode="External"/><Relationship Id="rId32" Type="http://schemas.openxmlformats.org/officeDocument/2006/relationships/hyperlink" Target="http://t.soquij.ca/Az72L" TargetMode="External"/><Relationship Id="rId37" Type="http://schemas.openxmlformats.org/officeDocument/2006/relationships/hyperlink" Target="http://citoyens.soquij.qc.ca/php/decision.php?ID=AA45382CF335787EBB4FF0C4C6AA066E&amp;captchaToken=03AGdBq25OkaGyUEOR7VUKWv2Zt52QEOfLFDhe8ZOeoxzxZuqFDXymqFnCy5IOI6hN-7Q5SOyaFM7D1Lz5wI_XR2gXEqtCNuqja0XxvKYz-l62gb_Ae5-sVP-0bL2Tfav8iVJkwm5ICOhsFZcBaTyyoOSNR9_TbO8k0JFgGzeaNA7XH-oSAPFi7gkMISgMc4JZwiYxoyGWzW5lomETcV9WnTgvdQPbjyFUP0zxzqi1DoWTPKW47_pCLej7xJWNNBHa7oq0UWdcgpj_pfvClxFhwXYxlrztetyVw9vCwhJVdo_4HYrw2LFnBPK3e33XVlF-RXRx3KYXMPJVog3rvpjsLEYtoypK-cFXLnwlDLlEOJMwbackenkQ-leX1FXlXnlJML-KDZ7I4PMgPOPbbikELWabYysWvS7m7eOkQ678zcaGh1cotFWX92_0mIUcOohO-lBu09bj_wLUixa9NQFBO2GezHAFxTQRvGH9nRX_PayIdkU2fPpcKvHQnX9j2LH8y6LN9m5ZcmRxGEicz2izMr8iSYKFy6g35Q"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egisquebec.gouv.qc.ca/fr/showdoc/cs/p-40.1" TargetMode="External"/><Relationship Id="rId23" Type="http://schemas.openxmlformats.org/officeDocument/2006/relationships/hyperlink" Target="https://www.tresor.gouv.qc.ca/ressources-informationnelles/architecture-dentreprise-gouvernementale/standards-et-normes/accessibilite-du-web/" TargetMode="External"/><Relationship Id="rId28" Type="http://schemas.openxmlformats.org/officeDocument/2006/relationships/hyperlink" Target="https://canlii.ca/t/1pkpk" TargetMode="External"/><Relationship Id="rId36" Type="http://schemas.openxmlformats.org/officeDocument/2006/relationships/hyperlink" Target="https://canlii.ca/t/g062h" TargetMode="External"/><Relationship Id="rId10" Type="http://schemas.openxmlformats.org/officeDocument/2006/relationships/image" Target="media/image3.png"/><Relationship Id="rId19" Type="http://schemas.openxmlformats.org/officeDocument/2006/relationships/hyperlink" Target="https://www.opc.gouv.qc.ca/contact/consommateur/" TargetMode="External"/><Relationship Id="rId31" Type="http://schemas.openxmlformats.org/officeDocument/2006/relationships/hyperlink" Target="https://laws-lois.justice.gc.ca/fra/lois/c-38/page-1.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ca.ca/fr/defense-de-vos-droits-et-information-juridique-essentielle?region=qc" TargetMode="External"/><Relationship Id="rId22" Type="http://schemas.openxmlformats.org/officeDocument/2006/relationships/hyperlink" Target="https://ombudsmandemontreal.com/services/formulaire-de-plainte" TargetMode="External"/><Relationship Id="rId27" Type="http://schemas.openxmlformats.org/officeDocument/2006/relationships/hyperlink" Target="https://canlii.ca/t/1fr0b" TargetMode="External"/><Relationship Id="rId30" Type="http://schemas.openxmlformats.org/officeDocument/2006/relationships/hyperlink" Target="mailto:info@vlrehab.ca" TargetMode="External"/><Relationship Id="rId35" Type="http://schemas.openxmlformats.org/officeDocument/2006/relationships/hyperlink" Target="https://canlii.ca/t/g0356"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t.soquij.ca/Fy75S" TargetMode="External"/><Relationship Id="rId1" Type="http://schemas.openxmlformats.org/officeDocument/2006/relationships/hyperlink" Target="https://canlii.ca/t/1qx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17</Pages>
  <Words>3783</Words>
  <Characters>20812</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466</cp:revision>
  <cp:lastPrinted>2021-08-13T17:06:00Z</cp:lastPrinted>
  <dcterms:created xsi:type="dcterms:W3CDTF">2021-06-08T18:12:00Z</dcterms:created>
  <dcterms:modified xsi:type="dcterms:W3CDTF">2021-08-13T17:06:00Z</dcterms:modified>
</cp:coreProperties>
</file>