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56D47" w14:textId="135C9566" w:rsidR="008122FA" w:rsidRDefault="00AD3593" w:rsidP="000905A1">
      <w:pPr>
        <w:pStyle w:val="Title"/>
        <w:rPr>
          <w:rFonts w:ascii="Stag Sans Semibold" w:hAnsi="Stag Sans Semibold"/>
          <w:sz w:val="72"/>
          <w:szCs w:val="72"/>
        </w:rPr>
      </w:pPr>
      <w:r>
        <w:rPr>
          <w:rFonts w:ascii="Stag Sans Semibold" w:hAnsi="Stag Sans Semibold"/>
          <w:noProof/>
          <w:sz w:val="72"/>
          <w:szCs w:val="72"/>
        </w:rPr>
        <w:drawing>
          <wp:inline distT="0" distB="0" distL="0" distR="0" wp14:anchorId="4D5D4BBE" wp14:editId="3A81F859">
            <wp:extent cx="3657600" cy="1568156"/>
            <wp:effectExtent l="0" t="0" r="0" b="0"/>
            <wp:docPr id="3" name="Image 3" descr="Logo du projet Droits dev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Logo du projet Droits devant !"/>
                    <pic:cNvPicPr/>
                  </pic:nvPicPr>
                  <pic:blipFill rotWithShape="1">
                    <a:blip r:embed="rId7" cstate="print">
                      <a:extLst>
                        <a:ext uri="{28A0092B-C50C-407E-A947-70E740481C1C}">
                          <a14:useLocalDpi xmlns:a14="http://schemas.microsoft.com/office/drawing/2010/main" val="0"/>
                        </a:ext>
                      </a:extLst>
                    </a:blip>
                    <a:srcRect l="5566"/>
                    <a:stretch/>
                  </pic:blipFill>
                  <pic:spPr bwMode="auto">
                    <a:xfrm>
                      <a:off x="0" y="0"/>
                      <a:ext cx="3657600" cy="1568156"/>
                    </a:xfrm>
                    <a:prstGeom prst="rect">
                      <a:avLst/>
                    </a:prstGeom>
                    <a:ln>
                      <a:noFill/>
                    </a:ln>
                    <a:extLst>
                      <a:ext uri="{53640926-AAD7-44D8-BBD7-CCE9431645EC}">
                        <a14:shadowObscured xmlns:a14="http://schemas.microsoft.com/office/drawing/2010/main"/>
                      </a:ext>
                    </a:extLst>
                  </pic:spPr>
                </pic:pic>
              </a:graphicData>
            </a:graphic>
          </wp:inline>
        </w:drawing>
      </w:r>
    </w:p>
    <w:p w14:paraId="73E88BA8" w14:textId="14242AF4" w:rsidR="008122FA" w:rsidRPr="00907759" w:rsidRDefault="008122FA" w:rsidP="00A62B71">
      <w:pPr>
        <w:pStyle w:val="Title"/>
        <w:rPr>
          <w:rFonts w:ascii="Stag Sans Semibold" w:hAnsi="Stag Sans Semibold"/>
          <w:sz w:val="40"/>
          <w:szCs w:val="40"/>
        </w:rPr>
      </w:pPr>
    </w:p>
    <w:p w14:paraId="4F11A3F0" w14:textId="06EF245A" w:rsidR="00EC3534" w:rsidRPr="002317C9" w:rsidRDefault="006F4C04" w:rsidP="002F789B">
      <w:pPr>
        <w:pStyle w:val="Heading1"/>
      </w:pPr>
      <w:bookmarkStart w:id="0" w:name="_Toc79749658"/>
      <w:r w:rsidRPr="002317C9">
        <w:t>Une parcelle d’histoire</w:t>
      </w:r>
      <w:bookmarkEnd w:id="0"/>
    </w:p>
    <w:p w14:paraId="6B49607B" w14:textId="5D78DDE2" w:rsidR="00A62B71" w:rsidRPr="002F789B" w:rsidRDefault="006A39B2" w:rsidP="002F789B">
      <w:pPr>
        <w:rPr>
          <w:b/>
          <w:bCs/>
          <w:sz w:val="40"/>
          <w:szCs w:val="32"/>
        </w:rPr>
      </w:pPr>
      <w:bookmarkStart w:id="1" w:name="_Hlk73621977"/>
      <w:bookmarkEnd w:id="1"/>
      <w:r w:rsidRPr="002F789B">
        <w:rPr>
          <w:b/>
          <w:bCs/>
          <w:noProof/>
          <w:sz w:val="40"/>
          <w:szCs w:val="32"/>
        </w:rPr>
        <w:drawing>
          <wp:anchor distT="0" distB="0" distL="114300" distR="114300" simplePos="0" relativeHeight="251660288" behindDoc="1" locked="0" layoutInCell="1" allowOverlap="1" wp14:anchorId="308786DF" wp14:editId="5CA7AF66">
            <wp:simplePos x="0" y="0"/>
            <wp:positionH relativeFrom="column">
              <wp:posOffset>-914400</wp:posOffset>
            </wp:positionH>
            <wp:positionV relativeFrom="paragraph">
              <wp:posOffset>600185</wp:posOffset>
            </wp:positionV>
            <wp:extent cx="8287438" cy="6599141"/>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8287438" cy="6599141"/>
                    </a:xfrm>
                    <a:prstGeom prst="rect">
                      <a:avLst/>
                    </a:prstGeom>
                  </pic:spPr>
                </pic:pic>
              </a:graphicData>
            </a:graphic>
            <wp14:sizeRelH relativeFrom="page">
              <wp14:pctWidth>0</wp14:pctWidth>
            </wp14:sizeRelH>
            <wp14:sizeRelV relativeFrom="page">
              <wp14:pctHeight>0</wp14:pctHeight>
            </wp14:sizeRelV>
          </wp:anchor>
        </w:drawing>
      </w:r>
      <w:r w:rsidR="00A62B71" w:rsidRPr="002F789B">
        <w:rPr>
          <w:b/>
          <w:bCs/>
          <w:sz w:val="40"/>
          <w:szCs w:val="32"/>
        </w:rPr>
        <w:t>Droits devant</w:t>
      </w:r>
      <w:r w:rsidR="00B60C8D" w:rsidRPr="002F789B">
        <w:rPr>
          <w:b/>
          <w:bCs/>
          <w:sz w:val="40"/>
          <w:szCs w:val="32"/>
        </w:rPr>
        <w:t>!</w:t>
      </w:r>
    </w:p>
    <w:p w14:paraId="5929F42E" w14:textId="43819689" w:rsidR="005364EB" w:rsidRDefault="005364EB">
      <w:pPr>
        <w:rPr>
          <w:rFonts w:ascii="Stag Sans Medium" w:hAnsi="Stag Sans Medium"/>
          <w:sz w:val="32"/>
          <w:szCs w:val="32"/>
        </w:rPr>
      </w:pPr>
    </w:p>
    <w:p w14:paraId="5D7ABAFA" w14:textId="77777777" w:rsidR="00907759" w:rsidRDefault="00907759">
      <w:pPr>
        <w:rPr>
          <w:rFonts w:ascii="Stag Sans Medium" w:hAnsi="Stag Sans Medium"/>
          <w:sz w:val="32"/>
          <w:szCs w:val="32"/>
        </w:rPr>
      </w:pPr>
    </w:p>
    <w:p w14:paraId="3D0F0724" w14:textId="77777777" w:rsidR="00907759" w:rsidRDefault="00907759">
      <w:pPr>
        <w:rPr>
          <w:rFonts w:ascii="Stag Sans Medium" w:hAnsi="Stag Sans Medium"/>
          <w:sz w:val="32"/>
          <w:szCs w:val="32"/>
        </w:rPr>
      </w:pPr>
    </w:p>
    <w:p w14:paraId="68A5A669" w14:textId="77777777" w:rsidR="00907759" w:rsidRDefault="00907759">
      <w:pPr>
        <w:rPr>
          <w:rFonts w:ascii="Stag Sans Medium" w:hAnsi="Stag Sans Medium"/>
          <w:sz w:val="32"/>
          <w:szCs w:val="32"/>
        </w:rPr>
      </w:pPr>
    </w:p>
    <w:p w14:paraId="060D4128" w14:textId="77777777" w:rsidR="00907759" w:rsidRDefault="00907759">
      <w:pPr>
        <w:rPr>
          <w:rFonts w:ascii="Stag Sans Medium" w:hAnsi="Stag Sans Medium"/>
          <w:sz w:val="32"/>
          <w:szCs w:val="32"/>
        </w:rPr>
      </w:pPr>
    </w:p>
    <w:p w14:paraId="40E7E30B" w14:textId="77777777" w:rsidR="00907759" w:rsidRDefault="00907759">
      <w:pPr>
        <w:rPr>
          <w:rFonts w:ascii="Stag Sans Medium" w:hAnsi="Stag Sans Medium"/>
          <w:sz w:val="32"/>
          <w:szCs w:val="32"/>
        </w:rPr>
      </w:pPr>
    </w:p>
    <w:p w14:paraId="1C521D26" w14:textId="2AD382C6" w:rsidR="00907759" w:rsidRDefault="00907759">
      <w:pPr>
        <w:rPr>
          <w:rFonts w:ascii="Stag Sans Medium" w:hAnsi="Stag Sans Medium"/>
          <w:sz w:val="32"/>
          <w:szCs w:val="32"/>
        </w:rPr>
      </w:pPr>
    </w:p>
    <w:p w14:paraId="2D329479" w14:textId="41305A65" w:rsidR="00907759" w:rsidRDefault="00907759">
      <w:pPr>
        <w:rPr>
          <w:rFonts w:ascii="Stag Sans Medium" w:hAnsi="Stag Sans Medium"/>
          <w:sz w:val="32"/>
          <w:szCs w:val="32"/>
        </w:rPr>
      </w:pPr>
    </w:p>
    <w:p w14:paraId="4C614109" w14:textId="1D6F008F" w:rsidR="00907759" w:rsidRDefault="00907759">
      <w:pPr>
        <w:rPr>
          <w:rFonts w:ascii="Stag Sans Medium" w:hAnsi="Stag Sans Medium"/>
          <w:sz w:val="32"/>
          <w:szCs w:val="32"/>
        </w:rPr>
      </w:pPr>
    </w:p>
    <w:p w14:paraId="4DF6C16C" w14:textId="2B889E93" w:rsidR="00907759" w:rsidRDefault="00907759">
      <w:pPr>
        <w:rPr>
          <w:rFonts w:ascii="Stag Sans Medium" w:hAnsi="Stag Sans Medium"/>
          <w:sz w:val="32"/>
          <w:szCs w:val="32"/>
        </w:rPr>
      </w:pPr>
    </w:p>
    <w:p w14:paraId="27B646DC" w14:textId="052FECC1" w:rsidR="00907759" w:rsidRDefault="006A39B2">
      <w:pPr>
        <w:rPr>
          <w:rFonts w:ascii="Stag Sans Medium" w:hAnsi="Stag Sans Medium"/>
          <w:sz w:val="32"/>
          <w:szCs w:val="32"/>
        </w:rPr>
      </w:pPr>
      <w:r>
        <w:rPr>
          <w:rFonts w:ascii="Stag Sans Semibold" w:hAnsi="Stag Sans Semibold"/>
          <w:noProof/>
          <w:sz w:val="72"/>
          <w:szCs w:val="72"/>
        </w:rPr>
        <w:drawing>
          <wp:anchor distT="0" distB="0" distL="114300" distR="114300" simplePos="0" relativeHeight="251661312" behindDoc="0" locked="0" layoutInCell="1" allowOverlap="1" wp14:anchorId="4519782D" wp14:editId="0F09574A">
            <wp:simplePos x="0" y="0"/>
            <wp:positionH relativeFrom="column">
              <wp:posOffset>3596999</wp:posOffset>
            </wp:positionH>
            <wp:positionV relativeFrom="paragraph">
              <wp:posOffset>233432</wp:posOffset>
            </wp:positionV>
            <wp:extent cx="2356061" cy="1371600"/>
            <wp:effectExtent l="0" t="0" r="0" b="0"/>
            <wp:wrapNone/>
            <wp:docPr id="2" name="Picture 2" descr="Logo de la Chambre des notaires du Québec, partenaire du projet Droits dev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de la Chambre des notaires du Québec, partenaire du projet Droits devant!"/>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2356061" cy="1371600"/>
                    </a:xfrm>
                    <a:prstGeom prst="rect">
                      <a:avLst/>
                    </a:prstGeom>
                  </pic:spPr>
                </pic:pic>
              </a:graphicData>
            </a:graphic>
            <wp14:sizeRelH relativeFrom="page">
              <wp14:pctWidth>0</wp14:pctWidth>
            </wp14:sizeRelH>
            <wp14:sizeRelV relativeFrom="page">
              <wp14:pctHeight>0</wp14:pctHeight>
            </wp14:sizeRelV>
          </wp:anchor>
        </w:drawing>
      </w:r>
    </w:p>
    <w:p w14:paraId="4C06BD61" w14:textId="740034EB" w:rsidR="00907759" w:rsidRDefault="00907759">
      <w:pPr>
        <w:rPr>
          <w:rFonts w:ascii="Stag Sans Medium" w:hAnsi="Stag Sans Medium"/>
          <w:sz w:val="32"/>
          <w:szCs w:val="32"/>
        </w:rPr>
      </w:pPr>
    </w:p>
    <w:p w14:paraId="5BB77167" w14:textId="33EE6D31" w:rsidR="00A62B71" w:rsidRPr="002317C9" w:rsidRDefault="00A62B71">
      <w:pPr>
        <w:rPr>
          <w:rFonts w:cs="Arial"/>
          <w:b/>
          <w:bCs/>
          <w:sz w:val="32"/>
          <w:szCs w:val="32"/>
        </w:rPr>
      </w:pPr>
      <w:r w:rsidRPr="002317C9">
        <w:rPr>
          <w:rFonts w:cs="Arial"/>
          <w:b/>
          <w:bCs/>
          <w:sz w:val="32"/>
          <w:szCs w:val="32"/>
        </w:rPr>
        <w:t>Dernière mise à jour</w:t>
      </w:r>
      <w:r w:rsidR="00297CB5" w:rsidRPr="002317C9">
        <w:rPr>
          <w:rFonts w:cs="Arial"/>
          <w:b/>
          <w:bCs/>
          <w:sz w:val="32"/>
          <w:szCs w:val="32"/>
        </w:rPr>
        <w:t> </w:t>
      </w:r>
      <w:r w:rsidRPr="002317C9">
        <w:rPr>
          <w:rFonts w:cs="Arial"/>
          <w:b/>
          <w:bCs/>
          <w:sz w:val="32"/>
          <w:szCs w:val="32"/>
        </w:rPr>
        <w:t xml:space="preserve">: </w:t>
      </w:r>
      <w:r w:rsidR="00E4047A">
        <w:rPr>
          <w:rFonts w:cs="Arial"/>
          <w:b/>
          <w:bCs/>
          <w:sz w:val="32"/>
          <w:szCs w:val="32"/>
        </w:rPr>
        <w:t xml:space="preserve">10 août </w:t>
      </w:r>
      <w:r w:rsidRPr="002317C9">
        <w:rPr>
          <w:rFonts w:cs="Arial"/>
          <w:b/>
          <w:bCs/>
          <w:sz w:val="32"/>
          <w:szCs w:val="32"/>
        </w:rPr>
        <w:t>2021</w:t>
      </w:r>
      <w:r w:rsidRPr="002317C9">
        <w:rPr>
          <w:rFonts w:cs="Arial"/>
          <w:b/>
          <w:bCs/>
          <w:sz w:val="32"/>
          <w:szCs w:val="32"/>
        </w:rPr>
        <w:br w:type="page"/>
      </w:r>
    </w:p>
    <w:p w14:paraId="301383EE" w14:textId="77777777" w:rsidR="00FB03C4" w:rsidRPr="00FB03C4" w:rsidRDefault="00FB03C4" w:rsidP="002F789B">
      <w:pPr>
        <w:pStyle w:val="Heading2"/>
      </w:pPr>
      <w:bookmarkStart w:id="2" w:name="_Toc79749659"/>
      <w:r w:rsidRPr="00FB03C4">
        <w:lastRenderedPageBreak/>
        <w:t>Avertissement</w:t>
      </w:r>
      <w:bookmarkEnd w:id="2"/>
    </w:p>
    <w:p w14:paraId="77B90F9C" w14:textId="0FF7B600" w:rsidR="00FB03C4" w:rsidRPr="00FB03C4" w:rsidRDefault="00FB03C4" w:rsidP="00CF5A4B">
      <w:pPr>
        <w:spacing w:after="240" w:line="276" w:lineRule="auto"/>
        <w:rPr>
          <w:szCs w:val="28"/>
        </w:rPr>
      </w:pPr>
      <w:r w:rsidRPr="00FB03C4">
        <w:rPr>
          <w:szCs w:val="28"/>
        </w:rPr>
        <w:t xml:space="preserve">Les informations contenues dans ce guide fournissent des informations générales et ne représentent pas un avis juridique. Si vous avez besoin d’informations concernant un problème juridique spécifique, </w:t>
      </w:r>
      <w:r w:rsidRPr="00FB03C4">
        <w:rPr>
          <w:b/>
          <w:bCs/>
          <w:szCs w:val="28"/>
        </w:rPr>
        <w:t>veuillez communiquer avec un</w:t>
      </w:r>
      <w:r w:rsidR="00DC477B">
        <w:rPr>
          <w:b/>
          <w:bCs/>
          <w:szCs w:val="28"/>
        </w:rPr>
        <w:t xml:space="preserve"> notaire, un</w:t>
      </w:r>
      <w:r w:rsidRPr="00FB03C4">
        <w:rPr>
          <w:b/>
          <w:bCs/>
          <w:szCs w:val="28"/>
        </w:rPr>
        <w:t xml:space="preserve"> avocat ou une clinique d’aide juridique</w:t>
      </w:r>
      <w:r w:rsidRPr="00FB03C4">
        <w:rPr>
          <w:szCs w:val="28"/>
        </w:rPr>
        <w:t>.</w:t>
      </w:r>
    </w:p>
    <w:p w14:paraId="1198BED3" w14:textId="77777777" w:rsidR="00FB03C4" w:rsidRPr="00FB03C4" w:rsidRDefault="00FB03C4" w:rsidP="00CF5A4B">
      <w:pPr>
        <w:spacing w:after="240" w:line="276" w:lineRule="auto"/>
        <w:rPr>
          <w:szCs w:val="28"/>
        </w:rPr>
      </w:pPr>
    </w:p>
    <w:p w14:paraId="2BDD4E8A" w14:textId="0CD37F40" w:rsidR="00FB03C4" w:rsidRPr="00FB03C4" w:rsidRDefault="00FB03C4" w:rsidP="002F789B">
      <w:pPr>
        <w:pStyle w:val="Heading2"/>
      </w:pPr>
      <w:bookmarkStart w:id="3" w:name="_Toc79749660"/>
      <w:r w:rsidRPr="00FB03C4">
        <w:t>Remerciement</w:t>
      </w:r>
      <w:bookmarkEnd w:id="3"/>
      <w:r w:rsidR="002F789B">
        <w:t>s</w:t>
      </w:r>
    </w:p>
    <w:p w14:paraId="641ACC36" w14:textId="669A928F" w:rsidR="00FB03C4" w:rsidRPr="00FB03C4" w:rsidRDefault="006C6960" w:rsidP="00CF5A4B">
      <w:pPr>
        <w:spacing w:after="240" w:line="276" w:lineRule="auto"/>
        <w:rPr>
          <w:szCs w:val="28"/>
        </w:rPr>
      </w:pPr>
      <w:hyperlink r:id="rId10" w:history="1">
        <w:r w:rsidR="00166277" w:rsidRPr="00166277">
          <w:rPr>
            <w:b/>
            <w:bCs/>
            <w:color w:val="0563C1" w:themeColor="hyperlink"/>
            <w:szCs w:val="28"/>
            <w:u w:val="single"/>
          </w:rPr>
          <w:t>INCA</w:t>
        </w:r>
      </w:hyperlink>
      <w:r w:rsidR="00FB03C4" w:rsidRPr="00FB03C4">
        <w:rPr>
          <w:b/>
          <w:bCs/>
          <w:szCs w:val="28"/>
        </w:rPr>
        <w:t xml:space="preserve"> </w:t>
      </w:r>
      <w:r w:rsidR="00FB03C4" w:rsidRPr="00FB03C4">
        <w:rPr>
          <w:szCs w:val="28"/>
        </w:rPr>
        <w:t xml:space="preserve">tient à remercier </w:t>
      </w:r>
      <w:r w:rsidR="006F06EB">
        <w:rPr>
          <w:szCs w:val="28"/>
        </w:rPr>
        <w:t xml:space="preserve">Hassan </w:t>
      </w:r>
      <w:r w:rsidR="00657F11" w:rsidRPr="00657F11">
        <w:rPr>
          <w:szCs w:val="28"/>
        </w:rPr>
        <w:t>Moradzadeh</w:t>
      </w:r>
      <w:r w:rsidR="00397C84">
        <w:rPr>
          <w:szCs w:val="28"/>
        </w:rPr>
        <w:t xml:space="preserve"> pour la recherche et la rédaction de cette parcelle d’histoire sur l’origine des droits des personnes handicapées. </w:t>
      </w:r>
    </w:p>
    <w:p w14:paraId="731929C7" w14:textId="77777777" w:rsidR="00FB03C4" w:rsidRPr="00FB03C4" w:rsidRDefault="00FB03C4" w:rsidP="00CF5A4B">
      <w:pPr>
        <w:spacing w:after="240" w:line="276" w:lineRule="auto"/>
        <w:rPr>
          <w:szCs w:val="28"/>
        </w:rPr>
      </w:pPr>
    </w:p>
    <w:p w14:paraId="2764A24B" w14:textId="282DCC54" w:rsidR="00FB03C4" w:rsidRPr="00FB03C4" w:rsidRDefault="00166277" w:rsidP="00CF5A4B">
      <w:pPr>
        <w:spacing w:after="240" w:line="276" w:lineRule="auto"/>
        <w:rPr>
          <w:szCs w:val="28"/>
        </w:rPr>
      </w:pPr>
      <w:r w:rsidRPr="00166277">
        <w:rPr>
          <w:b/>
          <w:bCs/>
          <w:szCs w:val="28"/>
        </w:rPr>
        <w:t>INCA</w:t>
      </w:r>
      <w:r w:rsidR="00FB03C4" w:rsidRPr="00FB03C4">
        <w:rPr>
          <w:b/>
          <w:bCs/>
          <w:szCs w:val="28"/>
        </w:rPr>
        <w:t xml:space="preserve"> </w:t>
      </w:r>
      <w:r w:rsidR="00FB03C4" w:rsidRPr="00FB03C4">
        <w:rPr>
          <w:szCs w:val="28"/>
        </w:rPr>
        <w:t xml:space="preserve">tient également à souligner sa gratitude quant à l’appui financier du </w:t>
      </w:r>
      <w:hyperlink r:id="rId11" w:history="1">
        <w:r w:rsidR="00FB03C4" w:rsidRPr="00FB03C4">
          <w:rPr>
            <w:b/>
            <w:bCs/>
            <w:color w:val="0563C1" w:themeColor="hyperlink"/>
            <w:szCs w:val="28"/>
            <w:u w:val="single"/>
          </w:rPr>
          <w:t>Fond</w:t>
        </w:r>
        <w:r w:rsidR="0059508D">
          <w:rPr>
            <w:b/>
            <w:bCs/>
            <w:color w:val="0563C1" w:themeColor="hyperlink"/>
            <w:szCs w:val="28"/>
            <w:u w:val="single"/>
          </w:rPr>
          <w:t>s</w:t>
        </w:r>
        <w:r w:rsidR="00FB03C4" w:rsidRPr="00FB03C4">
          <w:rPr>
            <w:b/>
            <w:bCs/>
            <w:color w:val="0563C1" w:themeColor="hyperlink"/>
            <w:szCs w:val="28"/>
            <w:u w:val="single"/>
          </w:rPr>
          <w:t xml:space="preserve"> d’études notariales de la Chambre des notaires du Québec</w:t>
        </w:r>
      </w:hyperlink>
      <w:r w:rsidR="00FB03C4" w:rsidRPr="00FB03C4">
        <w:rPr>
          <w:szCs w:val="28"/>
        </w:rPr>
        <w:t>.</w:t>
      </w:r>
    </w:p>
    <w:p w14:paraId="0EECCC3C" w14:textId="2D63CFD2" w:rsidR="005364EB" w:rsidRDefault="005364EB" w:rsidP="00CF5A4B">
      <w:pPr>
        <w:spacing w:after="240" w:line="276" w:lineRule="auto"/>
      </w:pPr>
    </w:p>
    <w:p w14:paraId="692883B4" w14:textId="5251771E" w:rsidR="005364EB" w:rsidRDefault="005364EB" w:rsidP="00CF5A4B">
      <w:pPr>
        <w:spacing w:after="240" w:line="276" w:lineRule="auto"/>
      </w:pPr>
    </w:p>
    <w:p w14:paraId="1A5394DD" w14:textId="1382A965" w:rsidR="005364EB" w:rsidRDefault="005364EB" w:rsidP="00CF5A4B">
      <w:pPr>
        <w:spacing w:after="240" w:line="276" w:lineRule="auto"/>
      </w:pPr>
      <w:r>
        <w:br w:type="page"/>
      </w:r>
    </w:p>
    <w:sdt>
      <w:sdtPr>
        <w:rPr>
          <w:rFonts w:ascii="Arial" w:eastAsiaTheme="minorHAnsi" w:hAnsi="Arial" w:cstheme="minorBidi"/>
          <w:spacing w:val="0"/>
          <w:kern w:val="0"/>
          <w:sz w:val="28"/>
          <w:szCs w:val="22"/>
        </w:rPr>
        <w:id w:val="59756065"/>
        <w:docPartObj>
          <w:docPartGallery w:val="Table of Contents"/>
          <w:docPartUnique/>
        </w:docPartObj>
      </w:sdtPr>
      <w:sdtEndPr>
        <w:rPr>
          <w:rFonts w:cs="Arial"/>
          <w:b/>
          <w:bCs/>
          <w:noProof/>
          <w:sz w:val="32"/>
          <w:szCs w:val="32"/>
        </w:rPr>
      </w:sdtEndPr>
      <w:sdtContent>
        <w:p w14:paraId="5F2A9532" w14:textId="6A126311" w:rsidR="002F789B" w:rsidRPr="002F789B" w:rsidRDefault="0008059B" w:rsidP="002F789B">
          <w:pPr>
            <w:pStyle w:val="Title"/>
            <w:spacing w:after="240" w:line="276" w:lineRule="auto"/>
            <w:rPr>
              <w:rFonts w:ascii="Arial" w:hAnsi="Arial" w:cs="Arial"/>
              <w:sz w:val="32"/>
              <w:szCs w:val="32"/>
            </w:rPr>
          </w:pPr>
          <w:r w:rsidRPr="00210EB8">
            <w:t>Table des matières</w:t>
          </w:r>
          <w:r w:rsidRPr="002F789B">
            <w:rPr>
              <w:rFonts w:ascii="Arial" w:hAnsi="Arial" w:cs="Arial"/>
              <w:sz w:val="32"/>
              <w:szCs w:val="32"/>
            </w:rPr>
            <w:fldChar w:fldCharType="begin"/>
          </w:r>
          <w:r w:rsidRPr="002F789B">
            <w:rPr>
              <w:rFonts w:ascii="Arial" w:hAnsi="Arial" w:cs="Arial"/>
              <w:sz w:val="32"/>
              <w:szCs w:val="32"/>
            </w:rPr>
            <w:instrText xml:space="preserve"> TOC \o "1-3" \h \z \u </w:instrText>
          </w:r>
          <w:r w:rsidRPr="002F789B">
            <w:rPr>
              <w:rFonts w:ascii="Arial" w:hAnsi="Arial" w:cs="Arial"/>
              <w:sz w:val="32"/>
              <w:szCs w:val="32"/>
            </w:rPr>
            <w:fldChar w:fldCharType="separate"/>
          </w:r>
        </w:p>
        <w:p w14:paraId="7FAA85BD" w14:textId="30A9C240" w:rsidR="002F789B" w:rsidRPr="002F789B" w:rsidRDefault="006C6960">
          <w:pPr>
            <w:pStyle w:val="TOC2"/>
            <w:tabs>
              <w:tab w:val="right" w:leader="dot" w:pos="9350"/>
            </w:tabs>
            <w:rPr>
              <w:rFonts w:ascii="Arial" w:eastAsiaTheme="minorEastAsia" w:hAnsi="Arial" w:cs="Arial"/>
              <w:noProof/>
              <w:sz w:val="32"/>
              <w:szCs w:val="32"/>
              <w:lang w:eastAsia="fr-CA"/>
            </w:rPr>
          </w:pPr>
          <w:hyperlink w:anchor="_Toc79749661" w:history="1">
            <w:r w:rsidR="002F789B" w:rsidRPr="002F789B">
              <w:rPr>
                <w:rStyle w:val="Hyperlink"/>
                <w:rFonts w:ascii="Arial" w:hAnsi="Arial" w:cs="Arial"/>
                <w:noProof/>
                <w:sz w:val="32"/>
                <w:szCs w:val="32"/>
              </w:rPr>
              <w:t>L’origine du terme handicap et des droits des personnes handicapées</w:t>
            </w:r>
            <w:r w:rsidR="002F789B" w:rsidRPr="002F789B">
              <w:rPr>
                <w:rFonts w:ascii="Arial" w:hAnsi="Arial" w:cs="Arial"/>
                <w:noProof/>
                <w:webHidden/>
                <w:sz w:val="32"/>
                <w:szCs w:val="32"/>
              </w:rPr>
              <w:tab/>
            </w:r>
            <w:r w:rsidR="002F789B" w:rsidRPr="002F789B">
              <w:rPr>
                <w:rFonts w:ascii="Arial" w:hAnsi="Arial" w:cs="Arial"/>
                <w:noProof/>
                <w:webHidden/>
                <w:sz w:val="32"/>
                <w:szCs w:val="32"/>
              </w:rPr>
              <w:fldChar w:fldCharType="begin"/>
            </w:r>
            <w:r w:rsidR="002F789B" w:rsidRPr="002F789B">
              <w:rPr>
                <w:rFonts w:ascii="Arial" w:hAnsi="Arial" w:cs="Arial"/>
                <w:noProof/>
                <w:webHidden/>
                <w:sz w:val="32"/>
                <w:szCs w:val="32"/>
              </w:rPr>
              <w:instrText xml:space="preserve"> PAGEREF _Toc79749661 \h </w:instrText>
            </w:r>
            <w:r w:rsidR="002F789B" w:rsidRPr="002F789B">
              <w:rPr>
                <w:rFonts w:ascii="Arial" w:hAnsi="Arial" w:cs="Arial"/>
                <w:noProof/>
                <w:webHidden/>
                <w:sz w:val="32"/>
                <w:szCs w:val="32"/>
              </w:rPr>
            </w:r>
            <w:r w:rsidR="002F789B" w:rsidRPr="002F789B">
              <w:rPr>
                <w:rFonts w:ascii="Arial" w:hAnsi="Arial" w:cs="Arial"/>
                <w:noProof/>
                <w:webHidden/>
                <w:sz w:val="32"/>
                <w:szCs w:val="32"/>
              </w:rPr>
              <w:fldChar w:fldCharType="separate"/>
            </w:r>
            <w:r w:rsidR="00305673">
              <w:rPr>
                <w:rFonts w:ascii="Arial" w:hAnsi="Arial" w:cs="Arial"/>
                <w:noProof/>
                <w:webHidden/>
                <w:sz w:val="32"/>
                <w:szCs w:val="32"/>
              </w:rPr>
              <w:t>4</w:t>
            </w:r>
            <w:r w:rsidR="002F789B" w:rsidRPr="002F789B">
              <w:rPr>
                <w:rFonts w:ascii="Arial" w:hAnsi="Arial" w:cs="Arial"/>
                <w:noProof/>
                <w:webHidden/>
                <w:sz w:val="32"/>
                <w:szCs w:val="32"/>
              </w:rPr>
              <w:fldChar w:fldCharType="end"/>
            </w:r>
          </w:hyperlink>
        </w:p>
        <w:p w14:paraId="4BD9970D" w14:textId="0C083F7C" w:rsidR="002F789B" w:rsidRPr="002F789B" w:rsidRDefault="006C6960">
          <w:pPr>
            <w:pStyle w:val="TOC3"/>
            <w:tabs>
              <w:tab w:val="right" w:leader="dot" w:pos="9350"/>
            </w:tabs>
            <w:rPr>
              <w:rFonts w:eastAsiaTheme="minorEastAsia" w:cs="Arial"/>
              <w:noProof/>
              <w:szCs w:val="32"/>
              <w:lang w:eastAsia="fr-CA"/>
            </w:rPr>
          </w:pPr>
          <w:hyperlink w:anchor="_Toc79749662" w:history="1">
            <w:r w:rsidR="002F789B" w:rsidRPr="002F789B">
              <w:rPr>
                <w:rStyle w:val="Hyperlink"/>
                <w:rFonts w:cs="Arial"/>
                <w:noProof/>
                <w:szCs w:val="32"/>
              </w:rPr>
              <w:t>Les différents modèles</w:t>
            </w:r>
            <w:r w:rsidR="002F789B" w:rsidRPr="002F789B">
              <w:rPr>
                <w:rFonts w:cs="Arial"/>
                <w:noProof/>
                <w:webHidden/>
                <w:szCs w:val="32"/>
              </w:rPr>
              <w:tab/>
            </w:r>
            <w:r w:rsidR="002F789B" w:rsidRPr="002F789B">
              <w:rPr>
                <w:rFonts w:cs="Arial"/>
                <w:noProof/>
                <w:webHidden/>
                <w:szCs w:val="32"/>
              </w:rPr>
              <w:fldChar w:fldCharType="begin"/>
            </w:r>
            <w:r w:rsidR="002F789B" w:rsidRPr="002F789B">
              <w:rPr>
                <w:rFonts w:cs="Arial"/>
                <w:noProof/>
                <w:webHidden/>
                <w:szCs w:val="32"/>
              </w:rPr>
              <w:instrText xml:space="preserve"> PAGEREF _Toc79749662 \h </w:instrText>
            </w:r>
            <w:r w:rsidR="002F789B" w:rsidRPr="002F789B">
              <w:rPr>
                <w:rFonts w:cs="Arial"/>
                <w:noProof/>
                <w:webHidden/>
                <w:szCs w:val="32"/>
              </w:rPr>
            </w:r>
            <w:r w:rsidR="002F789B" w:rsidRPr="002F789B">
              <w:rPr>
                <w:rFonts w:cs="Arial"/>
                <w:noProof/>
                <w:webHidden/>
                <w:szCs w:val="32"/>
              </w:rPr>
              <w:fldChar w:fldCharType="separate"/>
            </w:r>
            <w:r w:rsidR="00305673">
              <w:rPr>
                <w:rFonts w:cs="Arial"/>
                <w:noProof/>
                <w:webHidden/>
                <w:szCs w:val="32"/>
              </w:rPr>
              <w:t>5</w:t>
            </w:r>
            <w:r w:rsidR="002F789B" w:rsidRPr="002F789B">
              <w:rPr>
                <w:rFonts w:cs="Arial"/>
                <w:noProof/>
                <w:webHidden/>
                <w:szCs w:val="32"/>
              </w:rPr>
              <w:fldChar w:fldCharType="end"/>
            </w:r>
          </w:hyperlink>
        </w:p>
        <w:p w14:paraId="75849D12" w14:textId="22029E2F" w:rsidR="002F789B" w:rsidRPr="002F789B" w:rsidRDefault="006C6960">
          <w:pPr>
            <w:pStyle w:val="TOC3"/>
            <w:tabs>
              <w:tab w:val="right" w:leader="dot" w:pos="9350"/>
            </w:tabs>
            <w:rPr>
              <w:rFonts w:eastAsiaTheme="minorEastAsia" w:cs="Arial"/>
              <w:noProof/>
              <w:szCs w:val="32"/>
              <w:lang w:eastAsia="fr-CA"/>
            </w:rPr>
          </w:pPr>
          <w:hyperlink w:anchor="_Toc79749663" w:history="1">
            <w:r w:rsidR="002F789B" w:rsidRPr="002F789B">
              <w:rPr>
                <w:rStyle w:val="Hyperlink"/>
                <w:rFonts w:cs="Arial"/>
                <w:noProof/>
                <w:szCs w:val="32"/>
              </w:rPr>
              <w:t>Définitions</w:t>
            </w:r>
            <w:r w:rsidR="002F789B" w:rsidRPr="002F789B">
              <w:rPr>
                <w:rFonts w:cs="Arial"/>
                <w:noProof/>
                <w:webHidden/>
                <w:szCs w:val="32"/>
              </w:rPr>
              <w:tab/>
            </w:r>
            <w:r w:rsidR="002F789B" w:rsidRPr="002F789B">
              <w:rPr>
                <w:rFonts w:cs="Arial"/>
                <w:noProof/>
                <w:webHidden/>
                <w:szCs w:val="32"/>
              </w:rPr>
              <w:fldChar w:fldCharType="begin"/>
            </w:r>
            <w:r w:rsidR="002F789B" w:rsidRPr="002F789B">
              <w:rPr>
                <w:rFonts w:cs="Arial"/>
                <w:noProof/>
                <w:webHidden/>
                <w:szCs w:val="32"/>
              </w:rPr>
              <w:instrText xml:space="preserve"> PAGEREF _Toc79749663 \h </w:instrText>
            </w:r>
            <w:r w:rsidR="002F789B" w:rsidRPr="002F789B">
              <w:rPr>
                <w:rFonts w:cs="Arial"/>
                <w:noProof/>
                <w:webHidden/>
                <w:szCs w:val="32"/>
              </w:rPr>
            </w:r>
            <w:r w:rsidR="002F789B" w:rsidRPr="002F789B">
              <w:rPr>
                <w:rFonts w:cs="Arial"/>
                <w:noProof/>
                <w:webHidden/>
                <w:szCs w:val="32"/>
              </w:rPr>
              <w:fldChar w:fldCharType="separate"/>
            </w:r>
            <w:r w:rsidR="00305673">
              <w:rPr>
                <w:rFonts w:cs="Arial"/>
                <w:noProof/>
                <w:webHidden/>
                <w:szCs w:val="32"/>
              </w:rPr>
              <w:t>7</w:t>
            </w:r>
            <w:r w:rsidR="002F789B" w:rsidRPr="002F789B">
              <w:rPr>
                <w:rFonts w:cs="Arial"/>
                <w:noProof/>
                <w:webHidden/>
                <w:szCs w:val="32"/>
              </w:rPr>
              <w:fldChar w:fldCharType="end"/>
            </w:r>
          </w:hyperlink>
        </w:p>
        <w:p w14:paraId="7B8AA316" w14:textId="67BC9E49" w:rsidR="002F789B" w:rsidRPr="002F789B" w:rsidRDefault="006C6960">
          <w:pPr>
            <w:pStyle w:val="TOC2"/>
            <w:tabs>
              <w:tab w:val="right" w:leader="dot" w:pos="9350"/>
            </w:tabs>
            <w:rPr>
              <w:rFonts w:ascii="Arial" w:eastAsiaTheme="minorEastAsia" w:hAnsi="Arial" w:cs="Arial"/>
              <w:noProof/>
              <w:sz w:val="32"/>
              <w:szCs w:val="32"/>
              <w:lang w:eastAsia="fr-CA"/>
            </w:rPr>
          </w:pPr>
          <w:hyperlink w:anchor="_Toc79749664" w:history="1">
            <w:r w:rsidR="002F789B" w:rsidRPr="002F789B">
              <w:rPr>
                <w:rStyle w:val="Hyperlink"/>
                <w:rFonts w:ascii="Arial" w:hAnsi="Arial" w:cs="Arial"/>
                <w:noProof/>
                <w:sz w:val="32"/>
                <w:szCs w:val="32"/>
              </w:rPr>
              <w:t>L’origine de la défense des droits à INCA</w:t>
            </w:r>
            <w:r w:rsidR="002F789B" w:rsidRPr="002F789B">
              <w:rPr>
                <w:rFonts w:ascii="Arial" w:hAnsi="Arial" w:cs="Arial"/>
                <w:noProof/>
                <w:webHidden/>
                <w:sz w:val="32"/>
                <w:szCs w:val="32"/>
              </w:rPr>
              <w:tab/>
            </w:r>
            <w:r w:rsidR="002F789B" w:rsidRPr="002F789B">
              <w:rPr>
                <w:rFonts w:ascii="Arial" w:hAnsi="Arial" w:cs="Arial"/>
                <w:noProof/>
                <w:webHidden/>
                <w:sz w:val="32"/>
                <w:szCs w:val="32"/>
              </w:rPr>
              <w:fldChar w:fldCharType="begin"/>
            </w:r>
            <w:r w:rsidR="002F789B" w:rsidRPr="002F789B">
              <w:rPr>
                <w:rFonts w:ascii="Arial" w:hAnsi="Arial" w:cs="Arial"/>
                <w:noProof/>
                <w:webHidden/>
                <w:sz w:val="32"/>
                <w:szCs w:val="32"/>
              </w:rPr>
              <w:instrText xml:space="preserve"> PAGEREF _Toc79749664 \h </w:instrText>
            </w:r>
            <w:r w:rsidR="002F789B" w:rsidRPr="002F789B">
              <w:rPr>
                <w:rFonts w:ascii="Arial" w:hAnsi="Arial" w:cs="Arial"/>
                <w:noProof/>
                <w:webHidden/>
                <w:sz w:val="32"/>
                <w:szCs w:val="32"/>
              </w:rPr>
            </w:r>
            <w:r w:rsidR="002F789B" w:rsidRPr="002F789B">
              <w:rPr>
                <w:rFonts w:ascii="Arial" w:hAnsi="Arial" w:cs="Arial"/>
                <w:noProof/>
                <w:webHidden/>
                <w:sz w:val="32"/>
                <w:szCs w:val="32"/>
              </w:rPr>
              <w:fldChar w:fldCharType="separate"/>
            </w:r>
            <w:r w:rsidR="00305673">
              <w:rPr>
                <w:rFonts w:ascii="Arial" w:hAnsi="Arial" w:cs="Arial"/>
                <w:noProof/>
                <w:webHidden/>
                <w:sz w:val="32"/>
                <w:szCs w:val="32"/>
              </w:rPr>
              <w:t>9</w:t>
            </w:r>
            <w:r w:rsidR="002F789B" w:rsidRPr="002F789B">
              <w:rPr>
                <w:rFonts w:ascii="Arial" w:hAnsi="Arial" w:cs="Arial"/>
                <w:noProof/>
                <w:webHidden/>
                <w:sz w:val="32"/>
                <w:szCs w:val="32"/>
              </w:rPr>
              <w:fldChar w:fldCharType="end"/>
            </w:r>
          </w:hyperlink>
        </w:p>
        <w:p w14:paraId="109F8466" w14:textId="11F47A07" w:rsidR="002F789B" w:rsidRPr="002F789B" w:rsidRDefault="006C6960">
          <w:pPr>
            <w:pStyle w:val="TOC3"/>
            <w:tabs>
              <w:tab w:val="right" w:leader="dot" w:pos="9350"/>
            </w:tabs>
            <w:rPr>
              <w:rFonts w:eastAsiaTheme="minorEastAsia" w:cs="Arial"/>
              <w:noProof/>
              <w:szCs w:val="32"/>
              <w:lang w:eastAsia="fr-CA"/>
            </w:rPr>
          </w:pPr>
          <w:hyperlink w:anchor="_Toc79749665" w:history="1">
            <w:r w:rsidR="002F789B" w:rsidRPr="002F789B">
              <w:rPr>
                <w:rStyle w:val="Hyperlink"/>
                <w:rFonts w:cs="Arial"/>
                <w:noProof/>
                <w:szCs w:val="32"/>
              </w:rPr>
              <w:t>Une première victoire</w:t>
            </w:r>
            <w:r w:rsidR="002F789B" w:rsidRPr="002F789B">
              <w:rPr>
                <w:rFonts w:cs="Arial"/>
                <w:noProof/>
                <w:webHidden/>
                <w:szCs w:val="32"/>
              </w:rPr>
              <w:tab/>
            </w:r>
            <w:r w:rsidR="002F789B" w:rsidRPr="002F789B">
              <w:rPr>
                <w:rFonts w:cs="Arial"/>
                <w:noProof/>
                <w:webHidden/>
                <w:szCs w:val="32"/>
              </w:rPr>
              <w:fldChar w:fldCharType="begin"/>
            </w:r>
            <w:r w:rsidR="002F789B" w:rsidRPr="002F789B">
              <w:rPr>
                <w:rFonts w:cs="Arial"/>
                <w:noProof/>
                <w:webHidden/>
                <w:szCs w:val="32"/>
              </w:rPr>
              <w:instrText xml:space="preserve"> PAGEREF _Toc79749665 \h </w:instrText>
            </w:r>
            <w:r w:rsidR="002F789B" w:rsidRPr="002F789B">
              <w:rPr>
                <w:rFonts w:cs="Arial"/>
                <w:noProof/>
                <w:webHidden/>
                <w:szCs w:val="32"/>
              </w:rPr>
            </w:r>
            <w:r w:rsidR="002F789B" w:rsidRPr="002F789B">
              <w:rPr>
                <w:rFonts w:cs="Arial"/>
                <w:noProof/>
                <w:webHidden/>
                <w:szCs w:val="32"/>
              </w:rPr>
              <w:fldChar w:fldCharType="separate"/>
            </w:r>
            <w:r w:rsidR="00305673">
              <w:rPr>
                <w:rFonts w:cs="Arial"/>
                <w:noProof/>
                <w:webHidden/>
                <w:szCs w:val="32"/>
              </w:rPr>
              <w:t>9</w:t>
            </w:r>
            <w:r w:rsidR="002F789B" w:rsidRPr="002F789B">
              <w:rPr>
                <w:rFonts w:cs="Arial"/>
                <w:noProof/>
                <w:webHidden/>
                <w:szCs w:val="32"/>
              </w:rPr>
              <w:fldChar w:fldCharType="end"/>
            </w:r>
          </w:hyperlink>
        </w:p>
        <w:p w14:paraId="52A6E4D7" w14:textId="1578682A" w:rsidR="002F789B" w:rsidRPr="002F789B" w:rsidRDefault="006C6960">
          <w:pPr>
            <w:pStyle w:val="TOC3"/>
            <w:tabs>
              <w:tab w:val="right" w:leader="dot" w:pos="9350"/>
            </w:tabs>
            <w:rPr>
              <w:rFonts w:eastAsiaTheme="minorEastAsia" w:cs="Arial"/>
              <w:noProof/>
              <w:szCs w:val="32"/>
              <w:lang w:eastAsia="fr-CA"/>
            </w:rPr>
          </w:pPr>
          <w:hyperlink w:anchor="_Toc79749666" w:history="1">
            <w:r w:rsidR="002F789B" w:rsidRPr="002F789B">
              <w:rPr>
                <w:rStyle w:val="Hyperlink"/>
                <w:rFonts w:cs="Arial"/>
                <w:noProof/>
                <w:szCs w:val="32"/>
              </w:rPr>
              <w:t>Défendre les droits en s’adaptant</w:t>
            </w:r>
            <w:r w:rsidR="002F789B" w:rsidRPr="002F789B">
              <w:rPr>
                <w:rFonts w:cs="Arial"/>
                <w:noProof/>
                <w:webHidden/>
                <w:szCs w:val="32"/>
              </w:rPr>
              <w:tab/>
            </w:r>
            <w:r w:rsidR="002F789B" w:rsidRPr="002F789B">
              <w:rPr>
                <w:rFonts w:cs="Arial"/>
                <w:noProof/>
                <w:webHidden/>
                <w:szCs w:val="32"/>
              </w:rPr>
              <w:fldChar w:fldCharType="begin"/>
            </w:r>
            <w:r w:rsidR="002F789B" w:rsidRPr="002F789B">
              <w:rPr>
                <w:rFonts w:cs="Arial"/>
                <w:noProof/>
                <w:webHidden/>
                <w:szCs w:val="32"/>
              </w:rPr>
              <w:instrText xml:space="preserve"> PAGEREF _Toc79749666 \h </w:instrText>
            </w:r>
            <w:r w:rsidR="002F789B" w:rsidRPr="002F789B">
              <w:rPr>
                <w:rFonts w:cs="Arial"/>
                <w:noProof/>
                <w:webHidden/>
                <w:szCs w:val="32"/>
              </w:rPr>
            </w:r>
            <w:r w:rsidR="002F789B" w:rsidRPr="002F789B">
              <w:rPr>
                <w:rFonts w:cs="Arial"/>
                <w:noProof/>
                <w:webHidden/>
                <w:szCs w:val="32"/>
              </w:rPr>
              <w:fldChar w:fldCharType="separate"/>
            </w:r>
            <w:r w:rsidR="00305673">
              <w:rPr>
                <w:rFonts w:cs="Arial"/>
                <w:noProof/>
                <w:webHidden/>
                <w:szCs w:val="32"/>
              </w:rPr>
              <w:t>10</w:t>
            </w:r>
            <w:r w:rsidR="002F789B" w:rsidRPr="002F789B">
              <w:rPr>
                <w:rFonts w:cs="Arial"/>
                <w:noProof/>
                <w:webHidden/>
                <w:szCs w:val="32"/>
              </w:rPr>
              <w:fldChar w:fldCharType="end"/>
            </w:r>
          </w:hyperlink>
        </w:p>
        <w:p w14:paraId="67A5F740" w14:textId="1E0BC9D4" w:rsidR="002F789B" w:rsidRPr="002F789B" w:rsidRDefault="006C6960">
          <w:pPr>
            <w:pStyle w:val="TOC3"/>
            <w:tabs>
              <w:tab w:val="right" w:leader="dot" w:pos="9350"/>
            </w:tabs>
            <w:rPr>
              <w:rFonts w:eastAsiaTheme="minorEastAsia" w:cs="Arial"/>
              <w:noProof/>
              <w:szCs w:val="32"/>
              <w:lang w:eastAsia="fr-CA"/>
            </w:rPr>
          </w:pPr>
          <w:hyperlink w:anchor="_Toc79749667" w:history="1">
            <w:r w:rsidR="002F789B" w:rsidRPr="002F789B">
              <w:rPr>
                <w:rStyle w:val="Hyperlink"/>
                <w:rFonts w:cs="Arial"/>
                <w:noProof/>
                <w:szCs w:val="32"/>
              </w:rPr>
              <w:t>L’aube du XXI</w:t>
            </w:r>
            <w:r w:rsidR="002F789B" w:rsidRPr="002F789B">
              <w:rPr>
                <w:rStyle w:val="Hyperlink"/>
                <w:rFonts w:cs="Arial"/>
                <w:noProof/>
                <w:szCs w:val="32"/>
                <w:vertAlign w:val="superscript"/>
              </w:rPr>
              <w:t>e</w:t>
            </w:r>
            <w:r w:rsidR="002F789B" w:rsidRPr="002F789B">
              <w:rPr>
                <w:rStyle w:val="Hyperlink"/>
                <w:rFonts w:cs="Arial"/>
                <w:noProof/>
                <w:szCs w:val="32"/>
              </w:rPr>
              <w:t> siècle</w:t>
            </w:r>
            <w:r w:rsidR="002F789B" w:rsidRPr="002F789B">
              <w:rPr>
                <w:rFonts w:cs="Arial"/>
                <w:noProof/>
                <w:webHidden/>
                <w:szCs w:val="32"/>
              </w:rPr>
              <w:tab/>
            </w:r>
            <w:r w:rsidR="002F789B" w:rsidRPr="002F789B">
              <w:rPr>
                <w:rFonts w:cs="Arial"/>
                <w:noProof/>
                <w:webHidden/>
                <w:szCs w:val="32"/>
              </w:rPr>
              <w:fldChar w:fldCharType="begin"/>
            </w:r>
            <w:r w:rsidR="002F789B" w:rsidRPr="002F789B">
              <w:rPr>
                <w:rFonts w:cs="Arial"/>
                <w:noProof/>
                <w:webHidden/>
                <w:szCs w:val="32"/>
              </w:rPr>
              <w:instrText xml:space="preserve"> PAGEREF _Toc79749667 \h </w:instrText>
            </w:r>
            <w:r w:rsidR="002F789B" w:rsidRPr="002F789B">
              <w:rPr>
                <w:rFonts w:cs="Arial"/>
                <w:noProof/>
                <w:webHidden/>
                <w:szCs w:val="32"/>
              </w:rPr>
            </w:r>
            <w:r w:rsidR="002F789B" w:rsidRPr="002F789B">
              <w:rPr>
                <w:rFonts w:cs="Arial"/>
                <w:noProof/>
                <w:webHidden/>
                <w:szCs w:val="32"/>
              </w:rPr>
              <w:fldChar w:fldCharType="separate"/>
            </w:r>
            <w:r w:rsidR="00305673">
              <w:rPr>
                <w:rFonts w:cs="Arial"/>
                <w:noProof/>
                <w:webHidden/>
                <w:szCs w:val="32"/>
              </w:rPr>
              <w:t>11</w:t>
            </w:r>
            <w:r w:rsidR="002F789B" w:rsidRPr="002F789B">
              <w:rPr>
                <w:rFonts w:cs="Arial"/>
                <w:noProof/>
                <w:webHidden/>
                <w:szCs w:val="32"/>
              </w:rPr>
              <w:fldChar w:fldCharType="end"/>
            </w:r>
          </w:hyperlink>
        </w:p>
        <w:p w14:paraId="7FFE4099" w14:textId="650B48B6" w:rsidR="0008059B" w:rsidRPr="002F789B" w:rsidRDefault="0008059B" w:rsidP="00CF5A4B">
          <w:pPr>
            <w:spacing w:after="0" w:line="360" w:lineRule="auto"/>
            <w:rPr>
              <w:rFonts w:cs="Arial"/>
              <w:sz w:val="32"/>
              <w:szCs w:val="32"/>
            </w:rPr>
          </w:pPr>
          <w:r w:rsidRPr="002F789B">
            <w:rPr>
              <w:rFonts w:cs="Arial"/>
              <w:b/>
              <w:bCs/>
              <w:noProof/>
              <w:sz w:val="32"/>
              <w:szCs w:val="32"/>
            </w:rPr>
            <w:fldChar w:fldCharType="end"/>
          </w:r>
        </w:p>
      </w:sdtContent>
    </w:sdt>
    <w:p w14:paraId="5804FE5F" w14:textId="73ADEBEE" w:rsidR="00705C84" w:rsidRPr="00705C84" w:rsidRDefault="00705C84" w:rsidP="00CF5A4B">
      <w:pPr>
        <w:spacing w:after="240" w:line="276" w:lineRule="auto"/>
      </w:pPr>
      <w:r>
        <w:br w:type="page"/>
      </w:r>
    </w:p>
    <w:p w14:paraId="2D85963B" w14:textId="78CBF75B" w:rsidR="002011A0" w:rsidRPr="002317C9" w:rsidRDefault="001150C9" w:rsidP="002F789B">
      <w:pPr>
        <w:pStyle w:val="Heading2"/>
      </w:pPr>
      <w:bookmarkStart w:id="4" w:name="_Toc79749661"/>
      <w:r w:rsidRPr="002317C9">
        <w:lastRenderedPageBreak/>
        <w:t xml:space="preserve">L’origine du terme handicap et </w:t>
      </w:r>
      <w:r w:rsidR="001F178A" w:rsidRPr="002317C9">
        <w:t>des droits des personnes handicapées</w:t>
      </w:r>
      <w:bookmarkEnd w:id="4"/>
    </w:p>
    <w:p w14:paraId="601B97DE" w14:textId="79887808" w:rsidR="004F5898" w:rsidRPr="004F5898" w:rsidRDefault="004F5898" w:rsidP="00CF5A4B">
      <w:pPr>
        <w:spacing w:after="240" w:line="276" w:lineRule="auto"/>
        <w:rPr>
          <w:lang w:val="fr-FR"/>
        </w:rPr>
      </w:pPr>
      <w:r w:rsidRPr="004F5898">
        <w:rPr>
          <w:lang w:val="fr-FR"/>
        </w:rPr>
        <w:t xml:space="preserve">Le mot </w:t>
      </w:r>
      <w:r w:rsidRPr="004F5898">
        <w:rPr>
          <w:b/>
          <w:bCs/>
          <w:lang w:val="fr-FR"/>
        </w:rPr>
        <w:t>handicap</w:t>
      </w:r>
      <w:r w:rsidRPr="004F5898">
        <w:rPr>
          <w:i/>
          <w:iCs/>
          <w:lang w:val="fr-FR"/>
        </w:rPr>
        <w:t xml:space="preserve"> </w:t>
      </w:r>
      <w:r w:rsidRPr="004F5898">
        <w:rPr>
          <w:lang w:val="fr-FR"/>
        </w:rPr>
        <w:t xml:space="preserve">est un terme de turfiste ou du moins de </w:t>
      </w:r>
      <w:r w:rsidR="00A90E9D">
        <w:rPr>
          <w:b/>
          <w:bCs/>
        </w:rPr>
        <w:t>« </w:t>
      </w:r>
      <w:r w:rsidRPr="004F5898">
        <w:rPr>
          <w:b/>
          <w:bCs/>
          <w:lang w:val="fr-FR"/>
        </w:rPr>
        <w:t>player</w:t>
      </w:r>
      <w:r w:rsidR="00A90E9D">
        <w:rPr>
          <w:b/>
          <w:bCs/>
        </w:rPr>
        <w:t> »</w:t>
      </w:r>
      <w:r w:rsidRPr="004F5898">
        <w:rPr>
          <w:lang w:val="fr-FR"/>
        </w:rPr>
        <w:t xml:space="preserve"> d’origine anglaise. L’expression </w:t>
      </w:r>
      <w:r w:rsidRPr="004F5898">
        <w:rPr>
          <w:b/>
          <w:bCs/>
          <w:lang w:val="fr-FR"/>
        </w:rPr>
        <w:t>Hand in cap</w:t>
      </w:r>
      <w:r w:rsidRPr="004F5898">
        <w:rPr>
          <w:i/>
          <w:iCs/>
          <w:lang w:val="fr-FR"/>
        </w:rPr>
        <w:t xml:space="preserve"> </w:t>
      </w:r>
      <w:r w:rsidRPr="004F5898">
        <w:rPr>
          <w:lang w:val="fr-FR"/>
        </w:rPr>
        <w:t>apparaît au XVII</w:t>
      </w:r>
      <w:r w:rsidRPr="004F5898">
        <w:rPr>
          <w:vertAlign w:val="superscript"/>
          <w:lang w:val="fr-FR"/>
        </w:rPr>
        <w:t>e</w:t>
      </w:r>
      <w:r w:rsidR="0081253B">
        <w:rPr>
          <w:lang w:val="fr-FR"/>
        </w:rPr>
        <w:t> </w:t>
      </w:r>
      <w:r w:rsidRPr="004F5898">
        <w:rPr>
          <w:lang w:val="fr-FR"/>
        </w:rPr>
        <w:t>siècle et désignerait, à l’origine, un jeu dans lequel les compétiteurs se disputent des objets disposés dans un chapeau. Le vocable, d’une façon générale, a été utilisé dans un contexte hippique et sportif. Il se définit alors comme une sorte de freins à la mobilité</w:t>
      </w:r>
      <w:r w:rsidRPr="004F5898">
        <w:rPr>
          <w:rFonts w:ascii="Calibri" w:hAnsi="Calibri" w:cs="Calibri"/>
          <w:lang w:val="fr-FR"/>
        </w:rPr>
        <w:t> </w:t>
      </w:r>
      <w:r w:rsidRPr="004F5898">
        <w:rPr>
          <w:lang w:val="fr-FR"/>
        </w:rPr>
        <w:t>: les concurrents plus forts devaient porter un poids supplémentaire, parcourir un trajet plus long ou supporter des coups excédentaires, afin de donner aux participants plus faibles une chance égale de gagner</w:t>
      </w:r>
      <w:r w:rsidRPr="004F5898">
        <w:rPr>
          <w:vertAlign w:val="superscript"/>
          <w:lang w:val="fr-FR"/>
        </w:rPr>
        <w:footnoteReference w:id="1"/>
      </w:r>
      <w:r w:rsidRPr="004F5898">
        <w:rPr>
          <w:lang w:val="fr-FR"/>
        </w:rPr>
        <w:t>. Cette notion laisse penser que le handicapé est considéré comme un sujet supérieur. Mais, pareille signification est fort éloignée de l</w:t>
      </w:r>
      <w:r w:rsidR="00A90E9D">
        <w:rPr>
          <w:lang w:val="fr-FR"/>
        </w:rPr>
        <w:t>’</w:t>
      </w:r>
      <w:r w:rsidRPr="004F5898">
        <w:rPr>
          <w:lang w:val="fr-FR"/>
        </w:rPr>
        <w:t>acception actuelle du terme. L</w:t>
      </w:r>
      <w:r w:rsidR="00A90E9D">
        <w:rPr>
          <w:lang w:val="fr-FR"/>
        </w:rPr>
        <w:t>’</w:t>
      </w:r>
      <w:r w:rsidRPr="004F5898">
        <w:rPr>
          <w:lang w:val="fr-FR"/>
        </w:rPr>
        <w:t>individu handicapé n</w:t>
      </w:r>
      <w:r w:rsidR="00A90E9D">
        <w:rPr>
          <w:lang w:val="fr-FR"/>
        </w:rPr>
        <w:t>’</w:t>
      </w:r>
      <w:r w:rsidRPr="004F5898">
        <w:rPr>
          <w:lang w:val="fr-FR"/>
        </w:rPr>
        <w:t>est plus le meilleur que l</w:t>
      </w:r>
      <w:r w:rsidR="00A90E9D">
        <w:rPr>
          <w:lang w:val="fr-FR"/>
        </w:rPr>
        <w:t>’</w:t>
      </w:r>
      <w:r w:rsidRPr="004F5898">
        <w:rPr>
          <w:lang w:val="fr-FR"/>
        </w:rPr>
        <w:t>on défavorise directement pour qu</w:t>
      </w:r>
      <w:r w:rsidR="00A90E9D">
        <w:rPr>
          <w:lang w:val="fr-FR"/>
        </w:rPr>
        <w:t>’</w:t>
      </w:r>
      <w:r w:rsidRPr="004F5898">
        <w:rPr>
          <w:lang w:val="fr-FR"/>
        </w:rPr>
        <w:t>il soit ramené au niveau des autres compétiteurs, il est devenu celui qui n</w:t>
      </w:r>
      <w:r w:rsidR="00A90E9D">
        <w:rPr>
          <w:lang w:val="fr-FR"/>
        </w:rPr>
        <w:t>’</w:t>
      </w:r>
      <w:r w:rsidRPr="004F5898">
        <w:rPr>
          <w:lang w:val="fr-FR"/>
        </w:rPr>
        <w:t xml:space="preserve">est pas au même niveau, celui qui est désavantagé en permanence, indépendamment de ses performances antérieures. </w:t>
      </w:r>
    </w:p>
    <w:p w14:paraId="5325234D" w14:textId="7AC19839" w:rsidR="004F5898" w:rsidRDefault="004F5898" w:rsidP="00CF5A4B">
      <w:pPr>
        <w:spacing w:after="240" w:line="276" w:lineRule="auto"/>
        <w:rPr>
          <w:lang w:val="fr-FR"/>
        </w:rPr>
      </w:pPr>
      <w:r w:rsidRPr="004F5898">
        <w:rPr>
          <w:lang w:val="fr-FR"/>
        </w:rPr>
        <w:t xml:space="preserve">La notion de </w:t>
      </w:r>
      <w:r w:rsidRPr="004F5898">
        <w:rPr>
          <w:b/>
          <w:bCs/>
          <w:lang w:val="fr-FR"/>
        </w:rPr>
        <w:t>handicap</w:t>
      </w:r>
      <w:r w:rsidRPr="004F5898">
        <w:rPr>
          <w:lang w:val="fr-FR"/>
        </w:rPr>
        <w:t xml:space="preserve"> permet d</w:t>
      </w:r>
      <w:r w:rsidR="00A90E9D">
        <w:rPr>
          <w:lang w:val="fr-FR"/>
        </w:rPr>
        <w:t>’</w:t>
      </w:r>
      <w:r w:rsidRPr="004F5898">
        <w:rPr>
          <w:lang w:val="fr-FR"/>
        </w:rPr>
        <w:t xml:space="preserve">appréhender de nombreuses situations dont les causes sont différentes, mais qui ont des effets communs. Dans la terminologie actuelle, handicap est préféré à </w:t>
      </w:r>
      <w:r w:rsidRPr="004F5898">
        <w:rPr>
          <w:b/>
          <w:bCs/>
          <w:lang w:val="fr-FR"/>
        </w:rPr>
        <w:t xml:space="preserve">infirmité, invalidité, </w:t>
      </w:r>
      <w:r w:rsidR="0055044E">
        <w:rPr>
          <w:b/>
          <w:bCs/>
          <w:lang w:val="fr-FR"/>
        </w:rPr>
        <w:t>inca</w:t>
      </w:r>
      <w:r w:rsidRPr="004F5898">
        <w:rPr>
          <w:b/>
          <w:bCs/>
          <w:lang w:val="fr-FR"/>
        </w:rPr>
        <w:t>pacité, cécité, paralysie, débilité, démence, impotence, hémiplégie, tétraplégie, aphasie, mutité, surdité, surdimutité, myopathie, trisomie, déficience,</w:t>
      </w:r>
      <w:r w:rsidRPr="004F5898">
        <w:rPr>
          <w:lang w:val="fr-FR"/>
        </w:rPr>
        <w:t xml:space="preserve"> etc. Le handicap, quel que soit le type, a, avant tout, un aspect situationnel</w:t>
      </w:r>
      <w:r w:rsidRPr="004F5898">
        <w:rPr>
          <w:vertAlign w:val="superscript"/>
          <w:lang w:val="fr-FR"/>
        </w:rPr>
        <w:footnoteReference w:id="2"/>
      </w:r>
      <w:r w:rsidRPr="004F5898">
        <w:rPr>
          <w:lang w:val="fr-FR"/>
        </w:rPr>
        <w:t>. La Classification internationale du fonctionnement, adoptée le 22</w:t>
      </w:r>
      <w:r w:rsidR="0081253B">
        <w:rPr>
          <w:lang w:val="fr-FR"/>
        </w:rPr>
        <w:t> </w:t>
      </w:r>
      <w:r w:rsidRPr="004F5898">
        <w:rPr>
          <w:lang w:val="fr-FR"/>
        </w:rPr>
        <w:t>mai 2001</w:t>
      </w:r>
      <w:r w:rsidRPr="004F5898">
        <w:rPr>
          <w:vertAlign w:val="superscript"/>
          <w:lang w:val="fr-FR"/>
        </w:rPr>
        <w:footnoteReference w:id="3"/>
      </w:r>
      <w:r w:rsidRPr="004F5898">
        <w:rPr>
          <w:lang w:val="fr-FR"/>
        </w:rPr>
        <w:t xml:space="preserve">, insiste sur le caractère social du </w:t>
      </w:r>
      <w:r w:rsidRPr="004F5898">
        <w:rPr>
          <w:lang w:val="fr-FR"/>
        </w:rPr>
        <w:lastRenderedPageBreak/>
        <w:t>handicap. Il est opportun de constater que l’attitude envers le handicap n’a pas toujours été le même. Deux modèles principaux ont été, dans ce domaine, dominants</w:t>
      </w:r>
      <w:r w:rsidR="00297CB5">
        <w:rPr>
          <w:lang w:val="fr-FR"/>
        </w:rPr>
        <w:t> </w:t>
      </w:r>
      <w:r w:rsidRPr="004F5898">
        <w:rPr>
          <w:lang w:val="fr-FR"/>
        </w:rPr>
        <w:t xml:space="preserve">: le modèle médical et le modèle pathologique social. Mais, récemment, le modèle de mouvement civique a été retenu. </w:t>
      </w:r>
    </w:p>
    <w:p w14:paraId="6FF9C77A" w14:textId="77777777" w:rsidR="002F789B" w:rsidRPr="004F5898" w:rsidRDefault="002F789B" w:rsidP="00CF5A4B">
      <w:pPr>
        <w:spacing w:after="240" w:line="276" w:lineRule="auto"/>
        <w:rPr>
          <w:lang w:val="fr-FR"/>
        </w:rPr>
      </w:pPr>
    </w:p>
    <w:p w14:paraId="19288CC5" w14:textId="269BA924" w:rsidR="002C1D5D" w:rsidRPr="000E3F5B" w:rsidRDefault="002C1D5D" w:rsidP="002F789B">
      <w:pPr>
        <w:pStyle w:val="Heading3"/>
      </w:pPr>
      <w:bookmarkStart w:id="5" w:name="_Toc79749662"/>
      <w:r w:rsidRPr="000E3F5B">
        <w:t>Les différents modèles</w:t>
      </w:r>
      <w:bookmarkEnd w:id="5"/>
    </w:p>
    <w:p w14:paraId="6426534C" w14:textId="23734B9D" w:rsidR="004F5898" w:rsidRPr="00210EB8" w:rsidRDefault="004F5898" w:rsidP="00CF5A4B">
      <w:pPr>
        <w:spacing w:after="240" w:line="276" w:lineRule="auto"/>
        <w:rPr>
          <w:lang w:val="fr-FR"/>
        </w:rPr>
      </w:pPr>
      <w:r w:rsidRPr="00210EB8">
        <w:rPr>
          <w:lang w:val="fr-FR"/>
        </w:rPr>
        <w:t>Le modèle médical est fondé sur l’hypothèse que le handicap est une</w:t>
      </w:r>
      <w:r w:rsidR="002F4CB6" w:rsidRPr="00210EB8">
        <w:t xml:space="preserve"> </w:t>
      </w:r>
      <w:r w:rsidRPr="00210EB8">
        <w:rPr>
          <w:lang w:val="fr-FR"/>
        </w:rPr>
        <w:t>déficience qui doit être traitée par des techniques médicales, grâce</w:t>
      </w:r>
      <w:r w:rsidR="002F4CB6" w:rsidRPr="00210EB8">
        <w:t xml:space="preserve"> </w:t>
      </w:r>
      <w:r w:rsidRPr="00210EB8">
        <w:rPr>
          <w:lang w:val="fr-FR"/>
        </w:rPr>
        <w:t>auxquelles les individus atteints se réhabilitent. Selon ce modèle, les</w:t>
      </w:r>
      <w:r w:rsidR="002F4CB6" w:rsidRPr="00210EB8">
        <w:t xml:space="preserve"> </w:t>
      </w:r>
      <w:r w:rsidRPr="00210EB8">
        <w:rPr>
          <w:lang w:val="fr-FR"/>
        </w:rPr>
        <w:t>handicapés, en raison de leur infirmité inhérente, sont essentiellement</w:t>
      </w:r>
      <w:r w:rsidR="002F4CB6" w:rsidRPr="00210EB8">
        <w:t xml:space="preserve"> </w:t>
      </w:r>
      <w:r w:rsidRPr="00210EB8">
        <w:rPr>
          <w:lang w:val="fr-FR"/>
        </w:rPr>
        <w:t>inégaux aux autres. Ils ont le devoir de tenter de se réhabiliter et donc de se</w:t>
      </w:r>
      <w:r w:rsidR="002F4CB6" w:rsidRPr="00210EB8">
        <w:t xml:space="preserve"> </w:t>
      </w:r>
      <w:r w:rsidRPr="00210EB8">
        <w:rPr>
          <w:lang w:val="fr-FR"/>
        </w:rPr>
        <w:t>libérer de leur handicap. Ici, le but réside dans le fait d’avoir une société saine</w:t>
      </w:r>
      <w:r w:rsidR="002F4CB6" w:rsidRPr="00210EB8">
        <w:t xml:space="preserve"> </w:t>
      </w:r>
      <w:r w:rsidRPr="00210EB8">
        <w:rPr>
          <w:lang w:val="fr-FR"/>
        </w:rPr>
        <w:t>et sauve. L’</w:t>
      </w:r>
      <w:r w:rsidR="002F4CB6" w:rsidRPr="00210EB8">
        <w:t>É</w:t>
      </w:r>
      <w:r w:rsidRPr="00210EB8">
        <w:rPr>
          <w:lang w:val="fr-FR"/>
        </w:rPr>
        <w:t>tat est, à son tour, obligé de les assister</w:t>
      </w:r>
      <w:r w:rsidRPr="00210EB8">
        <w:rPr>
          <w:vertAlign w:val="superscript"/>
          <w:lang w:val="fr-FR"/>
        </w:rPr>
        <w:footnoteReference w:id="4"/>
      </w:r>
      <w:r w:rsidRPr="00210EB8">
        <w:rPr>
          <w:lang w:val="fr-FR"/>
        </w:rPr>
        <w:t xml:space="preserve">. </w:t>
      </w:r>
    </w:p>
    <w:p w14:paraId="6ADBED75" w14:textId="766DC53F" w:rsidR="004F5898" w:rsidRPr="00210EB8" w:rsidRDefault="004F5898" w:rsidP="00CF5A4B">
      <w:pPr>
        <w:spacing w:after="240" w:line="276" w:lineRule="auto"/>
        <w:rPr>
          <w:lang w:val="fr-FR"/>
        </w:rPr>
      </w:pPr>
      <w:r w:rsidRPr="00210EB8">
        <w:rPr>
          <w:lang w:val="fr-FR"/>
        </w:rPr>
        <w:t>Le modèle pathologique social tente de compenser la déficience inhérente</w:t>
      </w:r>
      <w:r w:rsidR="00435958" w:rsidRPr="00210EB8">
        <w:t xml:space="preserve"> </w:t>
      </w:r>
      <w:r w:rsidRPr="00210EB8">
        <w:rPr>
          <w:lang w:val="fr-FR"/>
        </w:rPr>
        <w:t>aux personnes handicapées</w:t>
      </w:r>
      <w:r w:rsidR="00297CB5" w:rsidRPr="00210EB8">
        <w:rPr>
          <w:rFonts w:cs="Arial"/>
          <w:lang w:val="fr-FR"/>
        </w:rPr>
        <w:t> </w:t>
      </w:r>
      <w:r w:rsidRPr="00210EB8">
        <w:rPr>
          <w:lang w:val="fr-FR"/>
        </w:rPr>
        <w:t>; mais celui-ci est fondé sur la base que le handicap est le reflet de certaines difficultés dérivant de l’attitude et du comportement interne de celles-ci</w:t>
      </w:r>
      <w:r w:rsidRPr="00210EB8">
        <w:rPr>
          <w:vertAlign w:val="superscript"/>
          <w:lang w:val="fr-FR"/>
        </w:rPr>
        <w:footnoteReference w:id="5"/>
      </w:r>
      <w:r w:rsidRPr="00210EB8">
        <w:rPr>
          <w:lang w:val="fr-FR"/>
        </w:rPr>
        <w:t>. Selon cette idée, la situation sociale et économique des handicapés est influencée par l’absence de motif et d’ajustement émotionnel de lui-même. Dans le modèle pathologique social, on tente de reconstruire le comportement, l’attitude des handicapés, afin de les intégrer à la société</w:t>
      </w:r>
      <w:r w:rsidRPr="00210EB8">
        <w:rPr>
          <w:vertAlign w:val="superscript"/>
          <w:lang w:val="fr-FR"/>
        </w:rPr>
        <w:footnoteReference w:id="6"/>
      </w:r>
      <w:r w:rsidRPr="00210EB8">
        <w:rPr>
          <w:lang w:val="fr-FR"/>
        </w:rPr>
        <w:t xml:space="preserve">. </w:t>
      </w:r>
    </w:p>
    <w:p w14:paraId="13F5FB70" w14:textId="124BDFC9" w:rsidR="004F5898" w:rsidRPr="00210EB8" w:rsidRDefault="004F5898" w:rsidP="00CF5A4B">
      <w:pPr>
        <w:spacing w:after="240" w:line="276" w:lineRule="auto"/>
        <w:rPr>
          <w:lang w:val="fr-FR"/>
        </w:rPr>
      </w:pPr>
      <w:r w:rsidRPr="00210EB8">
        <w:rPr>
          <w:lang w:val="fr-FR"/>
        </w:rPr>
        <w:t xml:space="preserve">Comme nous le percevons, le point commun de ces deux modèles repose dans le fait que les individus handicapés sont obligés, autant qu’ils le peuvent, de se conformer à l’environnement construit pour les valides. En </w:t>
      </w:r>
      <w:r w:rsidRPr="00210EB8">
        <w:rPr>
          <w:lang w:val="fr-FR"/>
        </w:rPr>
        <w:lastRenderedPageBreak/>
        <w:t>cas d’échec, ce sont les invalides qui sont blâmables et non la société. Cependant, les deux modèles se différencient par leur approche pour lutter contre les conséquences du handicap. Alors que, dans le modèle médical, on cherche à résoudre les problèmes de la vie courante de ces personnes dans l’assistance et la charité, le modèle pathologique social insiste sur la lutte que doivent mener les personnes handicapées contre leur propre diminution</w:t>
      </w:r>
      <w:r w:rsidRPr="00210EB8">
        <w:rPr>
          <w:vertAlign w:val="superscript"/>
          <w:lang w:val="fr-FR"/>
        </w:rPr>
        <w:footnoteReference w:id="7"/>
      </w:r>
      <w:r w:rsidRPr="00210EB8">
        <w:rPr>
          <w:lang w:val="fr-FR"/>
        </w:rPr>
        <w:t xml:space="preserve">. </w:t>
      </w:r>
    </w:p>
    <w:p w14:paraId="6020E1BF" w14:textId="782B4063" w:rsidR="004F5898" w:rsidRPr="00210EB8" w:rsidRDefault="004F5898" w:rsidP="00CF5A4B">
      <w:pPr>
        <w:spacing w:after="240" w:line="276" w:lineRule="auto"/>
        <w:rPr>
          <w:lang w:val="fr-FR"/>
        </w:rPr>
      </w:pPr>
      <w:r w:rsidRPr="00210EB8">
        <w:rPr>
          <w:lang w:val="fr-FR"/>
        </w:rPr>
        <w:t>Ces deux idées ont été fortement critiquées</w:t>
      </w:r>
      <w:r w:rsidRPr="00210EB8">
        <w:rPr>
          <w:vertAlign w:val="superscript"/>
          <w:lang w:val="fr-FR"/>
        </w:rPr>
        <w:footnoteReference w:id="8"/>
      </w:r>
      <w:r w:rsidR="00B053BD" w:rsidRPr="00210EB8">
        <w:rPr>
          <w:rFonts w:cs="Calibri"/>
          <w:lang w:val="fr-FR"/>
        </w:rPr>
        <w:t>.</w:t>
      </w:r>
      <w:r w:rsidRPr="00210EB8">
        <w:rPr>
          <w:lang w:val="fr-FR"/>
        </w:rPr>
        <w:t xml:space="preserve"> </w:t>
      </w:r>
      <w:r w:rsidR="00B053BD" w:rsidRPr="00210EB8">
        <w:rPr>
          <w:lang w:val="fr-FR"/>
        </w:rPr>
        <w:t>C</w:t>
      </w:r>
      <w:r w:rsidRPr="00210EB8">
        <w:rPr>
          <w:lang w:val="fr-FR"/>
        </w:rPr>
        <w:t>’est ainsi qu’au milieu du XX</w:t>
      </w:r>
      <w:r w:rsidRPr="00210EB8">
        <w:rPr>
          <w:vertAlign w:val="superscript"/>
          <w:lang w:val="fr-FR"/>
        </w:rPr>
        <w:t>e</w:t>
      </w:r>
      <w:r w:rsidR="0081253B" w:rsidRPr="00210EB8">
        <w:rPr>
          <w:lang w:val="fr-FR"/>
        </w:rPr>
        <w:t> </w:t>
      </w:r>
      <w:r w:rsidRPr="00210EB8">
        <w:rPr>
          <w:lang w:val="fr-FR"/>
        </w:rPr>
        <w:t xml:space="preserve">siècle, une nouvelle attitude a été adoptée. Selon le modèle de droits civiques, appelé aussi </w:t>
      </w:r>
      <w:r w:rsidRPr="00210EB8">
        <w:rPr>
          <w:b/>
          <w:bCs/>
          <w:lang w:val="fr-FR"/>
        </w:rPr>
        <w:t>modèle social</w:t>
      </w:r>
      <w:r w:rsidRPr="00210EB8">
        <w:rPr>
          <w:vertAlign w:val="superscript"/>
          <w:lang w:val="fr-FR"/>
        </w:rPr>
        <w:footnoteReference w:id="9"/>
      </w:r>
      <w:r w:rsidRPr="00210EB8">
        <w:rPr>
          <w:lang w:val="fr-FR"/>
        </w:rPr>
        <w:t>, les personnes handicapées sont égales aux autres, et si elles ne réussissent pas à trouver une place</w:t>
      </w:r>
      <w:r w:rsidR="00045554" w:rsidRPr="00210EB8">
        <w:t xml:space="preserve"> </w:t>
      </w:r>
      <w:r w:rsidRPr="00210EB8">
        <w:rPr>
          <w:lang w:val="fr-FR"/>
        </w:rPr>
        <w:t>appropriée dans la société, cela signifie que cette dernière n’a pas rempli son devoir envers elles. La société doit effectuer l’accommodement raisonnable pour que les handicapés puissent avoir accès aux divers lieux et</w:t>
      </w:r>
      <w:r w:rsidR="00045554" w:rsidRPr="00210EB8">
        <w:t xml:space="preserve"> </w:t>
      </w:r>
      <w:r w:rsidRPr="00210EB8">
        <w:rPr>
          <w:lang w:val="fr-FR"/>
        </w:rPr>
        <w:t>équipements</w:t>
      </w:r>
      <w:r w:rsidRPr="00210EB8">
        <w:rPr>
          <w:vertAlign w:val="superscript"/>
          <w:lang w:val="fr-FR"/>
        </w:rPr>
        <w:footnoteReference w:id="10"/>
      </w:r>
      <w:r w:rsidRPr="00210EB8">
        <w:rPr>
          <w:lang w:val="fr-FR"/>
        </w:rPr>
        <w:t xml:space="preserve">. </w:t>
      </w:r>
    </w:p>
    <w:p w14:paraId="44C44A4C" w14:textId="4DFD9177" w:rsidR="004F5898" w:rsidRPr="00210EB8" w:rsidRDefault="004F5898" w:rsidP="00CF5A4B">
      <w:pPr>
        <w:spacing w:after="240" w:line="276" w:lineRule="auto"/>
        <w:rPr>
          <w:lang w:val="fr-FR"/>
        </w:rPr>
      </w:pPr>
      <w:r w:rsidRPr="00210EB8">
        <w:rPr>
          <w:lang w:val="fr-FR"/>
        </w:rPr>
        <w:t>Le modèle de droits civiques trouve son origine dans les mouvements de droits civiques des années</w:t>
      </w:r>
      <w:r w:rsidR="0081253B" w:rsidRPr="00210EB8">
        <w:rPr>
          <w:lang w:val="fr-FR"/>
        </w:rPr>
        <w:t> </w:t>
      </w:r>
      <w:r w:rsidRPr="00210EB8">
        <w:rPr>
          <w:lang w:val="fr-FR"/>
        </w:rPr>
        <w:t xml:space="preserve">1950-1960 propres aux </w:t>
      </w:r>
      <w:r w:rsidR="00C65B76" w:rsidRPr="00210EB8">
        <w:rPr>
          <w:lang w:val="fr-FR"/>
        </w:rPr>
        <w:t>Afro-A</w:t>
      </w:r>
      <w:r w:rsidRPr="00210EB8">
        <w:rPr>
          <w:lang w:val="fr-FR"/>
        </w:rPr>
        <w:t xml:space="preserve">méricains et à certaines minorités cherchant l’égalité des chances aux </w:t>
      </w:r>
      <w:r w:rsidR="00725F97" w:rsidRPr="00210EB8">
        <w:t>États</w:t>
      </w:r>
      <w:r w:rsidRPr="00210EB8">
        <w:rPr>
          <w:lang w:val="fr-FR"/>
        </w:rPr>
        <w:t xml:space="preserve">-Unis. </w:t>
      </w:r>
      <w:r w:rsidR="00B23C5E" w:rsidRPr="00210EB8">
        <w:t>À</w:t>
      </w:r>
      <w:r w:rsidRPr="00210EB8">
        <w:rPr>
          <w:lang w:val="fr-FR"/>
        </w:rPr>
        <w:t xml:space="preserve"> la suite de ces tentatives, la loi de </w:t>
      </w:r>
      <w:r w:rsidRPr="00210EB8">
        <w:rPr>
          <w:b/>
          <w:bCs/>
          <w:lang w:val="fr-FR"/>
        </w:rPr>
        <w:t>droits civiques</w:t>
      </w:r>
      <w:r w:rsidRPr="00210EB8">
        <w:t>,</w:t>
      </w:r>
      <w:r w:rsidRPr="00210EB8">
        <w:rPr>
          <w:i/>
          <w:iCs/>
        </w:rPr>
        <w:t xml:space="preserve"> </w:t>
      </w:r>
      <w:r w:rsidRPr="00210EB8">
        <w:rPr>
          <w:lang w:val="fr-FR"/>
        </w:rPr>
        <w:t>adoptée en 1964</w:t>
      </w:r>
      <w:r w:rsidRPr="00210EB8">
        <w:t>,</w:t>
      </w:r>
      <w:r w:rsidRPr="00210EB8">
        <w:rPr>
          <w:lang w:val="fr-FR"/>
        </w:rPr>
        <w:t xml:space="preserve"> a interdit la discrimination fondée sur la race, le sexe et l’origine nationale pour accéder à l’emploi, à l’éducation et aux équipements publics. Bien que la proposition de la Fédération nationale des non-voyants d’y introduire le terme </w:t>
      </w:r>
      <w:r w:rsidRPr="00210EB8">
        <w:rPr>
          <w:b/>
          <w:bCs/>
          <w:lang w:val="fr-FR"/>
        </w:rPr>
        <w:t>handicap</w:t>
      </w:r>
      <w:r w:rsidRPr="00210EB8">
        <w:rPr>
          <w:lang w:val="fr-FR"/>
        </w:rPr>
        <w:t xml:space="preserve"> comme un type de discrimination, ait été rejetée, les handicapés ont continué à combattre, considérant le modèle de droits civiques comme le meilleur moyen pour l’intégration sociale. C’est ainsi que le Congrès a voté une loi (dite des</w:t>
      </w:r>
      <w:r w:rsidRPr="00210EB8">
        <w:rPr>
          <w:i/>
          <w:iCs/>
          <w:lang w:val="fr-FR"/>
        </w:rPr>
        <w:t xml:space="preserve"> </w:t>
      </w:r>
      <w:r w:rsidRPr="00210EB8">
        <w:rPr>
          <w:b/>
          <w:bCs/>
          <w:lang w:val="fr-FR"/>
        </w:rPr>
        <w:t>barrières architecturales</w:t>
      </w:r>
      <w:r w:rsidRPr="00210EB8">
        <w:rPr>
          <w:lang w:val="fr-FR"/>
        </w:rPr>
        <w:t xml:space="preserve">) en 1968 </w:t>
      </w:r>
      <w:r w:rsidRPr="00210EB8">
        <w:rPr>
          <w:lang w:val="fr-FR"/>
        </w:rPr>
        <w:lastRenderedPageBreak/>
        <w:t>qui, en exigeant que les installations construites par les fonds fédéraux soient accessibles aux personnes handicapées, a retenu le modèle de droits civiques au détriment du modèle médical</w:t>
      </w:r>
      <w:r w:rsidRPr="00210EB8">
        <w:rPr>
          <w:vertAlign w:val="superscript"/>
          <w:lang w:val="fr-FR"/>
        </w:rPr>
        <w:footnoteReference w:id="11"/>
      </w:r>
      <w:r w:rsidRPr="00210EB8">
        <w:rPr>
          <w:lang w:val="fr-FR"/>
        </w:rPr>
        <w:t xml:space="preserve">. </w:t>
      </w:r>
    </w:p>
    <w:p w14:paraId="39631662" w14:textId="28903335" w:rsidR="004F5898" w:rsidRDefault="004F5898" w:rsidP="00CF5A4B">
      <w:pPr>
        <w:spacing w:after="240" w:line="276" w:lineRule="auto"/>
        <w:rPr>
          <w:lang w:val="fr-FR"/>
        </w:rPr>
      </w:pPr>
      <w:r w:rsidRPr="00210EB8">
        <w:rPr>
          <w:lang w:val="fr-FR"/>
        </w:rPr>
        <w:t>C’est cette idée qui est adoptée par plusieurs législations récentes. Par exemple, l’ADA</w:t>
      </w:r>
      <w:r w:rsidRPr="00210EB8">
        <w:rPr>
          <w:vertAlign w:val="superscript"/>
          <w:lang w:val="fr-FR"/>
        </w:rPr>
        <w:footnoteReference w:id="12"/>
      </w:r>
      <w:r w:rsidRPr="00210EB8">
        <w:rPr>
          <w:lang w:val="fr-FR"/>
        </w:rPr>
        <w:t xml:space="preserve"> retient ce modèle en obligeant l’accommodement raisonnable aussi bien dans le secteur privé que dans le secteur public. En France, la loi du 11</w:t>
      </w:r>
      <w:r w:rsidR="0081253B" w:rsidRPr="00210EB8">
        <w:rPr>
          <w:lang w:val="fr-FR"/>
        </w:rPr>
        <w:t> </w:t>
      </w:r>
      <w:r w:rsidRPr="00210EB8">
        <w:rPr>
          <w:lang w:val="fr-FR"/>
        </w:rPr>
        <w:t>février 2005, comme l’annonce son titre</w:t>
      </w:r>
      <w:r w:rsidRPr="00210EB8">
        <w:rPr>
          <w:vertAlign w:val="superscript"/>
          <w:lang w:val="fr-FR"/>
        </w:rPr>
        <w:footnoteReference w:id="13"/>
      </w:r>
      <w:r w:rsidRPr="00210EB8">
        <w:rPr>
          <w:lang w:val="fr-FR"/>
        </w:rPr>
        <w:t>, suit ce modèle. Le handicap est reconnu comme une cause de discrimination interdite par la charte canadienne et celle québécoise. Également, le fait que la notion de l’accommodement raisonnable est reconnue et développée par la jurisprudence dans notre pays, nous sommes persuadés que le modèle social est retenu au Québec. Cependant, comme nous allons voir plus loin, cette idée n’a pas pris place dans définitions données du terme handicap.</w:t>
      </w:r>
    </w:p>
    <w:p w14:paraId="3F093120" w14:textId="77777777" w:rsidR="002F789B" w:rsidRPr="00210EB8" w:rsidRDefault="002F789B" w:rsidP="00CF5A4B">
      <w:pPr>
        <w:spacing w:after="240" w:line="276" w:lineRule="auto"/>
        <w:rPr>
          <w:lang w:val="fr-FR"/>
        </w:rPr>
      </w:pPr>
    </w:p>
    <w:p w14:paraId="295E8019" w14:textId="5ACE289C" w:rsidR="004F5898" w:rsidRPr="001070A5" w:rsidRDefault="00437499" w:rsidP="002F789B">
      <w:pPr>
        <w:pStyle w:val="Heading3"/>
      </w:pPr>
      <w:bookmarkStart w:id="6" w:name="_Toc79749663"/>
      <w:r w:rsidRPr="001070A5">
        <w:t>Définitions</w:t>
      </w:r>
      <w:bookmarkEnd w:id="6"/>
    </w:p>
    <w:p w14:paraId="2665C850" w14:textId="72D278CE" w:rsidR="004F5898" w:rsidRPr="00210EB8" w:rsidRDefault="004F5898" w:rsidP="00CF5A4B">
      <w:pPr>
        <w:spacing w:after="240" w:line="276" w:lineRule="auto"/>
        <w:rPr>
          <w:rFonts w:cs="Arial"/>
          <w:lang w:val="fr-FR"/>
        </w:rPr>
      </w:pPr>
      <w:r w:rsidRPr="00210EB8">
        <w:rPr>
          <w:rFonts w:cs="Arial"/>
          <w:lang w:val="fr-FR"/>
        </w:rPr>
        <w:t>La définition donnée par la</w:t>
      </w:r>
      <w:r w:rsidRPr="00210EB8">
        <w:rPr>
          <w:rFonts w:cs="Arial"/>
          <w:i/>
          <w:iCs/>
          <w:lang w:val="fr-FR"/>
        </w:rPr>
        <w:t xml:space="preserve"> </w:t>
      </w:r>
      <w:r w:rsidRPr="00210EB8">
        <w:rPr>
          <w:rFonts w:cs="Arial"/>
          <w:b/>
          <w:bCs/>
          <w:lang w:val="fr-FR"/>
        </w:rPr>
        <w:t>Convention internationale relative aux droits des personnes handicapées</w:t>
      </w:r>
      <w:r w:rsidRPr="00210EB8">
        <w:rPr>
          <w:rFonts w:cs="Arial"/>
          <w:vertAlign w:val="superscript"/>
          <w:lang w:val="fr-FR"/>
        </w:rPr>
        <w:footnoteReference w:id="14"/>
      </w:r>
      <w:r w:rsidRPr="00210EB8">
        <w:rPr>
          <w:rFonts w:cs="Arial"/>
          <w:lang w:val="fr-FR"/>
        </w:rPr>
        <w:t xml:space="preserve"> porte des valeurs non négligeables. L’article 1</w:t>
      </w:r>
      <w:r w:rsidRPr="00210EB8">
        <w:rPr>
          <w:rFonts w:cs="Arial"/>
          <w:vertAlign w:val="superscript"/>
          <w:lang w:val="fr-FR"/>
        </w:rPr>
        <w:t>er</w:t>
      </w:r>
      <w:r w:rsidRPr="00210EB8">
        <w:rPr>
          <w:rFonts w:cs="Arial"/>
          <w:lang w:val="fr-FR"/>
        </w:rPr>
        <w:t xml:space="preserve"> de cette Convention, après avoir affirmé le respect de la dignité des</w:t>
      </w:r>
      <w:r w:rsidR="00685B70" w:rsidRPr="00210EB8">
        <w:rPr>
          <w:rFonts w:cs="Arial"/>
        </w:rPr>
        <w:t xml:space="preserve"> </w:t>
      </w:r>
      <w:r w:rsidRPr="00210EB8">
        <w:rPr>
          <w:rFonts w:cs="Arial"/>
          <w:lang w:val="fr-FR"/>
        </w:rPr>
        <w:t>personnes handicapées, et la protection de la pleine et égale jouissance de tous les droits de la personne, les définit ainsi : «</w:t>
      </w:r>
      <w:r w:rsidR="0081253B" w:rsidRPr="00210EB8">
        <w:rPr>
          <w:rFonts w:cs="Arial"/>
          <w:lang w:val="fr-FR"/>
        </w:rPr>
        <w:t> </w:t>
      </w:r>
      <w:r w:rsidRPr="00210EB8">
        <w:rPr>
          <w:rFonts w:cs="Arial"/>
          <w:lang w:val="fr-FR"/>
        </w:rPr>
        <w:t xml:space="preserve">par personnes handicapées on entend des personnes qui présentent des </w:t>
      </w:r>
      <w:r w:rsidR="0055044E" w:rsidRPr="00210EB8">
        <w:rPr>
          <w:rFonts w:cs="Arial"/>
          <w:bCs/>
          <w:lang w:val="fr-FR"/>
        </w:rPr>
        <w:t>inca</w:t>
      </w:r>
      <w:r w:rsidRPr="00210EB8">
        <w:rPr>
          <w:rFonts w:cs="Arial"/>
          <w:lang w:val="fr-FR"/>
        </w:rPr>
        <w:t xml:space="preserve">pacités physiques, mentales, intellectuelles ou sensorielles durables dont l’interaction avec diverses barrières peut faire obstacle à leur pleine et </w:t>
      </w:r>
      <w:r w:rsidRPr="00210EB8">
        <w:rPr>
          <w:rFonts w:cs="Arial"/>
          <w:lang w:val="fr-FR"/>
        </w:rPr>
        <w:lastRenderedPageBreak/>
        <w:t>effective participation à la société sur la base de l’égalité avec les autres.</w:t>
      </w:r>
      <w:r w:rsidR="0081253B" w:rsidRPr="00210EB8">
        <w:rPr>
          <w:rFonts w:cs="Arial"/>
          <w:lang w:val="fr-FR"/>
        </w:rPr>
        <w:t> </w:t>
      </w:r>
      <w:r w:rsidRPr="00210EB8">
        <w:rPr>
          <w:rFonts w:cs="Arial"/>
          <w:lang w:val="fr-FR"/>
        </w:rPr>
        <w:t xml:space="preserve">» Cette définition tente de faire comprendre que les limitations du fait du handicap trouvent leur origine dans la déficience de la personne d’une part, et les obstacles existant dans la société à cause de l’absence de son adaptation d’autre part. Les axes principaux de la convention, comportant cinquante articles, sont l’égalité et la non-discrimination, la protection des femmes et des enfants handicapés, l’accessibilité et l’accès à la justice, la liberté et la sécurité de la personne, l’éducation, l’adaptation et la réadaptation, le travail et l’emploi, la participation à la vie politique, publique, culturelle et récréative. </w:t>
      </w:r>
    </w:p>
    <w:p w14:paraId="29C274F0" w14:textId="4719ADAB" w:rsidR="004F5898" w:rsidRPr="00210EB8" w:rsidRDefault="004F5898" w:rsidP="00CF5A4B">
      <w:pPr>
        <w:spacing w:after="240" w:line="276" w:lineRule="auto"/>
        <w:rPr>
          <w:rFonts w:cs="Arial"/>
          <w:lang w:val="fr-FR"/>
        </w:rPr>
      </w:pPr>
      <w:r w:rsidRPr="00210EB8">
        <w:rPr>
          <w:rFonts w:cs="Arial"/>
          <w:lang w:val="fr-FR"/>
        </w:rPr>
        <w:t>Il mérite d’explorer les définitions données par le législateur et doctrine québécois. Dans la </w:t>
      </w:r>
      <w:hyperlink r:id="rId12" w:history="1">
        <w:r w:rsidRPr="00210EB8">
          <w:rPr>
            <w:rStyle w:val="Hyperlink"/>
            <w:rFonts w:cs="Arial"/>
            <w:b/>
            <w:bCs/>
            <w:lang w:val="fr-FR"/>
          </w:rPr>
          <w:t>Loi assurant l’exercice des droits des personnes handicapées en vue de leur intégration scolaire, professionnelle et sociale</w:t>
        </w:r>
      </w:hyperlink>
      <w:r w:rsidRPr="00210EB8">
        <w:rPr>
          <w:rFonts w:cs="Arial"/>
          <w:lang w:val="fr-FR"/>
        </w:rPr>
        <w:t>, le législateur donne la définition suivante d’une</w:t>
      </w:r>
      <w:r w:rsidR="00E933C6" w:rsidRPr="00210EB8">
        <w:rPr>
          <w:rFonts w:cs="Arial"/>
        </w:rPr>
        <w:t xml:space="preserve"> </w:t>
      </w:r>
      <w:r w:rsidRPr="00210EB8">
        <w:rPr>
          <w:rFonts w:cs="Arial"/>
          <w:lang w:val="fr-FR"/>
        </w:rPr>
        <w:t>personne handicapée</w:t>
      </w:r>
      <w:r w:rsidR="00297CB5" w:rsidRPr="00210EB8">
        <w:rPr>
          <w:rFonts w:cs="Arial"/>
        </w:rPr>
        <w:t> </w:t>
      </w:r>
      <w:r w:rsidRPr="00210EB8">
        <w:rPr>
          <w:rFonts w:cs="Arial"/>
          <w:lang w:val="fr-FR"/>
        </w:rPr>
        <w:t>:</w:t>
      </w:r>
      <w:bookmarkStart w:id="7" w:name="8v5g1w4gdwn1"/>
      <w:bookmarkEnd w:id="7"/>
    </w:p>
    <w:p w14:paraId="1DFEB7CA" w14:textId="79AE9F0B" w:rsidR="004F5898" w:rsidRPr="00210EB8" w:rsidRDefault="004F5898" w:rsidP="00CF5A4B">
      <w:pPr>
        <w:spacing w:after="240" w:line="276" w:lineRule="auto"/>
        <w:rPr>
          <w:rFonts w:cs="Arial"/>
        </w:rPr>
      </w:pPr>
      <w:r w:rsidRPr="00210EB8">
        <w:rPr>
          <w:rFonts w:cs="Arial"/>
        </w:rPr>
        <w:t>«</w:t>
      </w:r>
      <w:r w:rsidR="0081253B" w:rsidRPr="00210EB8">
        <w:rPr>
          <w:rFonts w:cs="Arial"/>
        </w:rPr>
        <w:t> </w:t>
      </w:r>
      <w:r w:rsidRPr="00210EB8">
        <w:rPr>
          <w:rFonts w:cs="Arial"/>
        </w:rPr>
        <w:t xml:space="preserve">Article </w:t>
      </w:r>
      <w:r w:rsidRPr="00210EB8">
        <w:rPr>
          <w:rFonts w:cs="Arial"/>
          <w:b/>
          <w:bCs/>
        </w:rPr>
        <w:t>1</w:t>
      </w:r>
      <w:r w:rsidR="0081253B" w:rsidRPr="00210EB8">
        <w:rPr>
          <w:rFonts w:cs="Arial"/>
          <w:b/>
          <w:bCs/>
        </w:rPr>
        <w:t> </w:t>
      </w:r>
      <w:r w:rsidRPr="00210EB8">
        <w:rPr>
          <w:rFonts w:cs="Arial"/>
          <w:b/>
          <w:bCs/>
        </w:rPr>
        <w:t>g)</w:t>
      </w:r>
      <w:r w:rsidR="00297CB5" w:rsidRPr="00210EB8">
        <w:rPr>
          <w:rFonts w:cs="Arial"/>
          <w:b/>
          <w:bCs/>
        </w:rPr>
        <w:t> </w:t>
      </w:r>
      <w:r w:rsidRPr="00210EB8">
        <w:rPr>
          <w:rFonts w:cs="Arial"/>
          <w:b/>
          <w:bCs/>
        </w:rPr>
        <w:t>:</w:t>
      </w:r>
      <w:r w:rsidRPr="00210EB8">
        <w:rPr>
          <w:rFonts w:cs="Arial"/>
          <w:b/>
          <w:bCs/>
        </w:rPr>
        <w:t> </w:t>
      </w:r>
      <w:r w:rsidR="00A90E9D" w:rsidRPr="00210EB8">
        <w:rPr>
          <w:rFonts w:cs="Arial"/>
        </w:rPr>
        <w:t>“</w:t>
      </w:r>
      <w:r w:rsidRPr="00210EB8">
        <w:rPr>
          <w:rFonts w:cs="Arial"/>
        </w:rPr>
        <w:t>Personne handicapée</w:t>
      </w:r>
      <w:r w:rsidR="00A90E9D" w:rsidRPr="00210EB8">
        <w:rPr>
          <w:rFonts w:cs="Arial"/>
        </w:rPr>
        <w:t>”</w:t>
      </w:r>
      <w:r w:rsidR="00297CB5" w:rsidRPr="00210EB8">
        <w:rPr>
          <w:rFonts w:cs="Arial"/>
        </w:rPr>
        <w:t> </w:t>
      </w:r>
      <w:r w:rsidRPr="00210EB8">
        <w:rPr>
          <w:rFonts w:cs="Arial"/>
        </w:rPr>
        <w:t xml:space="preserve">: toute personne ayant une déficience entraînant une </w:t>
      </w:r>
      <w:r w:rsidR="0055044E" w:rsidRPr="00210EB8">
        <w:rPr>
          <w:rFonts w:cs="Arial"/>
          <w:bCs/>
        </w:rPr>
        <w:t>inca</w:t>
      </w:r>
      <w:r w:rsidRPr="00210EB8">
        <w:rPr>
          <w:rFonts w:cs="Arial"/>
        </w:rPr>
        <w:t>pacité significative et persistante et qui est sujette à rencontrer des obstacles dans l’accomplissement d’activités courantes</w:t>
      </w:r>
      <w:r w:rsidR="0081253B" w:rsidRPr="00210EB8">
        <w:rPr>
          <w:rFonts w:cs="Arial"/>
        </w:rPr>
        <w:t> </w:t>
      </w:r>
      <w:r w:rsidRPr="00210EB8">
        <w:rPr>
          <w:rFonts w:cs="Arial"/>
        </w:rPr>
        <w:t>». L’on définit généralement le mot «</w:t>
      </w:r>
      <w:r w:rsidR="0081253B" w:rsidRPr="00210EB8">
        <w:rPr>
          <w:rFonts w:cs="Arial"/>
        </w:rPr>
        <w:t> </w:t>
      </w:r>
      <w:r w:rsidRPr="00210EB8">
        <w:rPr>
          <w:rFonts w:cs="Arial"/>
        </w:rPr>
        <w:t>handicap</w:t>
      </w:r>
      <w:r w:rsidR="0081253B" w:rsidRPr="00210EB8">
        <w:rPr>
          <w:rFonts w:cs="Arial"/>
        </w:rPr>
        <w:t> </w:t>
      </w:r>
      <w:r w:rsidRPr="00210EB8">
        <w:rPr>
          <w:rFonts w:cs="Arial"/>
        </w:rPr>
        <w:t>» comme étant une déficience des capacités physiques ou mentales, causée par maladie ou</w:t>
      </w:r>
      <w:bookmarkStart w:id="8" w:name="k54mkwq465m1"/>
      <w:bookmarkStart w:id="9" w:name="dd3bdmd6vhw1"/>
      <w:bookmarkEnd w:id="8"/>
      <w:bookmarkEnd w:id="9"/>
      <w:r w:rsidRPr="00210EB8">
        <w:rPr>
          <w:rFonts w:cs="Arial"/>
        </w:rPr>
        <w:t xml:space="preserve"> accident</w:t>
      </w:r>
      <w:r w:rsidRPr="00210EB8">
        <w:rPr>
          <w:rFonts w:cs="Arial"/>
          <w:vertAlign w:val="superscript"/>
        </w:rPr>
        <w:footnoteReference w:id="15"/>
      </w:r>
      <w:r w:rsidRPr="00210EB8">
        <w:rPr>
          <w:rFonts w:cs="Arial"/>
        </w:rPr>
        <w:t>.</w:t>
      </w:r>
    </w:p>
    <w:p w14:paraId="7FFCF635" w14:textId="5791C08A" w:rsidR="004F5898" w:rsidRPr="00210EB8" w:rsidRDefault="004F5898" w:rsidP="00CF5A4B">
      <w:pPr>
        <w:spacing w:after="240" w:line="276" w:lineRule="auto"/>
        <w:rPr>
          <w:rFonts w:cs="Arial"/>
        </w:rPr>
      </w:pPr>
      <w:r w:rsidRPr="00210EB8">
        <w:rPr>
          <w:rFonts w:cs="Arial"/>
        </w:rPr>
        <w:t>Nous constatons que cette définition du terme handicap comme d’autres</w:t>
      </w:r>
      <w:r w:rsidRPr="00210EB8">
        <w:rPr>
          <w:rFonts w:cs="Arial"/>
          <w:vertAlign w:val="superscript"/>
        </w:rPr>
        <w:footnoteReference w:id="16"/>
      </w:r>
      <w:r w:rsidR="0012204B" w:rsidRPr="00210EB8">
        <w:rPr>
          <w:rFonts w:cs="Arial"/>
        </w:rPr>
        <w:t xml:space="preserve">, </w:t>
      </w:r>
      <w:r w:rsidR="002862A9" w:rsidRPr="00210EB8">
        <w:rPr>
          <w:rFonts w:cs="Arial"/>
        </w:rPr>
        <w:t xml:space="preserve">tel </w:t>
      </w:r>
      <w:r w:rsidR="0012204B" w:rsidRPr="00210EB8">
        <w:rPr>
          <w:rFonts w:cs="Arial"/>
        </w:rPr>
        <w:t>que</w:t>
      </w:r>
      <w:r w:rsidRPr="00210EB8">
        <w:rPr>
          <w:rFonts w:cs="Arial"/>
        </w:rPr>
        <w:t xml:space="preserve"> les obstacles, les barrières sociales ne sont pas considéré</w:t>
      </w:r>
      <w:r w:rsidR="002862A9" w:rsidRPr="00210EB8">
        <w:rPr>
          <w:rFonts w:cs="Arial"/>
        </w:rPr>
        <w:t>e</w:t>
      </w:r>
      <w:r w:rsidRPr="00210EB8">
        <w:rPr>
          <w:rFonts w:cs="Arial"/>
        </w:rPr>
        <w:t xml:space="preserve">s comme la cause du handicap. La majorité de ces définitions étant donnée avant l’adoption de la </w:t>
      </w:r>
      <w:r w:rsidRPr="00210EB8">
        <w:rPr>
          <w:rFonts w:cs="Arial"/>
          <w:b/>
          <w:bCs/>
        </w:rPr>
        <w:t>Convention relative aux droits des personnes handicapées</w:t>
      </w:r>
      <w:r w:rsidRPr="00210EB8">
        <w:rPr>
          <w:rFonts w:cs="Arial"/>
        </w:rPr>
        <w:t xml:space="preserve">, elles pourraient épargner du reproche. Cependant, la jurisprudence a introduit le modèle social dans la définition de handicap avant même l’adoption de la </w:t>
      </w:r>
      <w:r w:rsidRPr="00210EB8">
        <w:rPr>
          <w:rFonts w:cs="Arial"/>
          <w:b/>
          <w:bCs/>
        </w:rPr>
        <w:t>Convention</w:t>
      </w:r>
      <w:r w:rsidRPr="00210EB8">
        <w:rPr>
          <w:rFonts w:cs="Arial"/>
        </w:rPr>
        <w:t xml:space="preserve">. La discrimination fondée sur le handicap peut découler autant de perceptions, de mythes ou de </w:t>
      </w:r>
      <w:r w:rsidRPr="00210EB8">
        <w:rPr>
          <w:rFonts w:cs="Arial"/>
        </w:rPr>
        <w:lastRenderedPageBreak/>
        <w:t>stéréotypes que de l’existence de limitations fonctionnelles réelles. Il ne faut pas enfermer la notion de handicap dans une définition étanche et dépourvue de souplesse</w:t>
      </w:r>
      <w:r w:rsidR="00297CB5" w:rsidRPr="00210EB8">
        <w:rPr>
          <w:rFonts w:cs="Arial"/>
        </w:rPr>
        <w:t> </w:t>
      </w:r>
      <w:r w:rsidRPr="00210EB8">
        <w:rPr>
          <w:rFonts w:cs="Arial"/>
        </w:rPr>
        <w:t>: plutôt que sur la seule condition biomédicale, il faut mettre l’accent sur la dignité humaine, le respect de la personne et le droit à l’égalité. Les tribunaux doivent tenir compte des circonstances dans lesquelles une distinction est faite, le handicap pouvant résulter d’une limitation physique, d’une affection, d’une construction sociale, d’une perception sociale ou d’une combinaison de tous ces facteurs. L’état de santé peut constituer un handicap et une distinction fondée sur la possibilité réelle ou perçue que l’individu puisse développer un handicap est prohibée. L’accent doit être mis sur les obstacles à la pleine participation dans la société plutôt que sur la condition ou l’état de l’individu</w:t>
      </w:r>
      <w:r w:rsidRPr="00210EB8">
        <w:rPr>
          <w:rFonts w:cs="Arial"/>
          <w:vertAlign w:val="superscript"/>
        </w:rPr>
        <w:footnoteReference w:id="17"/>
      </w:r>
      <w:r w:rsidRPr="00210EB8">
        <w:rPr>
          <w:rFonts w:cs="Arial"/>
        </w:rPr>
        <w:t>.</w:t>
      </w:r>
    </w:p>
    <w:p w14:paraId="43DD526C" w14:textId="576E574A" w:rsidR="00610D95" w:rsidRPr="00210EB8" w:rsidRDefault="00610D95" w:rsidP="00CF5A4B">
      <w:pPr>
        <w:spacing w:after="240" w:line="276" w:lineRule="auto"/>
        <w:rPr>
          <w:rFonts w:cs="Arial"/>
        </w:rPr>
      </w:pPr>
    </w:p>
    <w:p w14:paraId="6B42DE2D" w14:textId="54EED7B5" w:rsidR="00705C84" w:rsidRPr="00875F78" w:rsidRDefault="00E300E9" w:rsidP="002F789B">
      <w:pPr>
        <w:pStyle w:val="Heading2"/>
        <w:rPr>
          <w:szCs w:val="28"/>
        </w:rPr>
      </w:pPr>
      <w:bookmarkStart w:id="10" w:name="_Toc79749664"/>
      <w:r w:rsidRPr="00875F78">
        <w:t xml:space="preserve">L’origine de la défense des droits </w:t>
      </w:r>
      <w:r w:rsidR="00610D95" w:rsidRPr="00875F78">
        <w:t xml:space="preserve">à </w:t>
      </w:r>
      <w:r w:rsidR="00166277" w:rsidRPr="00166277">
        <w:t>INCA</w:t>
      </w:r>
      <w:bookmarkEnd w:id="10"/>
    </w:p>
    <w:p w14:paraId="1DAF36A2" w14:textId="05D39678" w:rsidR="00705C84" w:rsidRDefault="007533DC" w:rsidP="00CF5A4B">
      <w:pPr>
        <w:spacing w:after="240" w:line="276" w:lineRule="auto"/>
      </w:pPr>
      <w:r>
        <w:t xml:space="preserve">C’est à la suite de la Première Guerre </w:t>
      </w:r>
      <w:r w:rsidR="00F60A97">
        <w:t>m</w:t>
      </w:r>
      <w:r>
        <w:t>ondiale et de l’explosion d’Halifax qu</w:t>
      </w:r>
      <w:r w:rsidR="00082671">
        <w:t>’</w:t>
      </w:r>
      <w:r w:rsidR="00166277" w:rsidRPr="00166277">
        <w:rPr>
          <w:b/>
        </w:rPr>
        <w:t>INCA</w:t>
      </w:r>
      <w:r>
        <w:t xml:space="preserve"> voit le jour, dans l’optique d’aider les anciens combattants et les citoyens canadiens aveugles </w:t>
      </w:r>
      <w:r w:rsidR="001E4368">
        <w:t xml:space="preserve">et leur permettre de rêver d’un avenir meilleur, avec la possibilité d’accéder à l’éducation, l’emploi et des services adaptés. </w:t>
      </w:r>
      <w:r w:rsidR="00F557E8">
        <w:t xml:space="preserve">Ainsi, c’est grâce à la persévérance et au courage des bénévoles </w:t>
      </w:r>
      <w:r w:rsidR="00E3390D">
        <w:t>ayant eu l’idée novatrice de fondé cet institut qu’</w:t>
      </w:r>
      <w:r w:rsidR="00166277" w:rsidRPr="00166277">
        <w:rPr>
          <w:b/>
        </w:rPr>
        <w:t>INCA</w:t>
      </w:r>
      <w:r w:rsidR="00E3390D">
        <w:t xml:space="preserve"> peut offrir des services aujourd’hui partout à travers le pays. </w:t>
      </w:r>
    </w:p>
    <w:p w14:paraId="21402881" w14:textId="77777777" w:rsidR="002F789B" w:rsidRDefault="002F789B" w:rsidP="00CF5A4B">
      <w:pPr>
        <w:spacing w:after="240" w:line="276" w:lineRule="auto"/>
      </w:pPr>
    </w:p>
    <w:p w14:paraId="70FC9516" w14:textId="0D4D86D3" w:rsidR="003D01DC" w:rsidRDefault="00752E40" w:rsidP="002F789B">
      <w:pPr>
        <w:pStyle w:val="Heading3"/>
      </w:pPr>
      <w:bookmarkStart w:id="11" w:name="_Toc79749665"/>
      <w:r>
        <w:t>Une première victoire</w:t>
      </w:r>
      <w:bookmarkEnd w:id="11"/>
    </w:p>
    <w:p w14:paraId="723A0033" w14:textId="4295D2B1" w:rsidR="00752E40" w:rsidRDefault="00752E40" w:rsidP="00CF5A4B">
      <w:pPr>
        <w:spacing w:after="240" w:line="276" w:lineRule="auto"/>
      </w:pPr>
      <w:r>
        <w:t xml:space="preserve">Dès sa création, </w:t>
      </w:r>
      <w:r w:rsidR="00166277" w:rsidRPr="00166277">
        <w:rPr>
          <w:b/>
        </w:rPr>
        <w:t>INCA</w:t>
      </w:r>
      <w:r>
        <w:t xml:space="preserve"> se porte à la défense des droits des personnes aveugles en leur assurant un accès à des livres en braille et la possibilité d’apprendre à le lire, mais également avec divers autres services. </w:t>
      </w:r>
      <w:r>
        <w:lastRenderedPageBreak/>
        <w:t>Toutefois, le premi</w:t>
      </w:r>
      <w:r w:rsidR="00FE39A0">
        <w:t xml:space="preserve">er grand changement dans la réalité des personnes aveugles survient en </w:t>
      </w:r>
      <w:r w:rsidR="00B16E6C">
        <w:t xml:space="preserve">1930, alors que, pour la première fois, les </w:t>
      </w:r>
      <w:r w:rsidR="00760362">
        <w:t>C</w:t>
      </w:r>
      <w:r w:rsidR="00B16E6C">
        <w:t xml:space="preserve">anadiens aveugles ont le droit de voter, grâce à l’adoption de la </w:t>
      </w:r>
      <w:r w:rsidR="00B16E6C">
        <w:rPr>
          <w:b/>
          <w:bCs/>
        </w:rPr>
        <w:t xml:space="preserve">Loi </w:t>
      </w:r>
      <w:r w:rsidR="00470C92">
        <w:rPr>
          <w:b/>
          <w:bCs/>
        </w:rPr>
        <w:t>sur les électeurs aveugles</w:t>
      </w:r>
      <w:r w:rsidR="00470C92">
        <w:t>, dont l’adoption est encouragée par les efforts de revendication d’</w:t>
      </w:r>
      <w:r w:rsidR="00166277" w:rsidRPr="00166277">
        <w:rPr>
          <w:b/>
          <w:bCs/>
        </w:rPr>
        <w:t>INCA</w:t>
      </w:r>
      <w:r w:rsidR="00470C92">
        <w:t xml:space="preserve">. </w:t>
      </w:r>
    </w:p>
    <w:p w14:paraId="5AB90ED4" w14:textId="26C6BA36" w:rsidR="00755ABE" w:rsidRDefault="00755ABE" w:rsidP="00CF5A4B">
      <w:pPr>
        <w:spacing w:after="240" w:line="276" w:lineRule="auto"/>
      </w:pPr>
      <w:r>
        <w:t xml:space="preserve">Bien que cette victoire </w:t>
      </w:r>
      <w:r w:rsidR="00706317">
        <w:t xml:space="preserve">consiste en un avancé monumental quant à la situation des personnes aveugles, </w:t>
      </w:r>
      <w:r w:rsidR="00166277" w:rsidRPr="00166277">
        <w:rPr>
          <w:b/>
          <w:bCs/>
        </w:rPr>
        <w:t>INCA</w:t>
      </w:r>
      <w:r w:rsidR="00706317">
        <w:t xml:space="preserve"> ne s’arrête pas à cet exploit et poursuit sa mission de </w:t>
      </w:r>
      <w:r w:rsidR="00706317">
        <w:rPr>
          <w:b/>
          <w:bCs/>
        </w:rPr>
        <w:t>changer ce que cela signifie d’être aveugle dans la société actuelle</w:t>
      </w:r>
      <w:r w:rsidR="00706317">
        <w:t xml:space="preserve">. </w:t>
      </w:r>
    </w:p>
    <w:p w14:paraId="30E27A8A" w14:textId="77777777" w:rsidR="002F789B" w:rsidRDefault="002F789B" w:rsidP="00CF5A4B">
      <w:pPr>
        <w:spacing w:after="240" w:line="276" w:lineRule="auto"/>
      </w:pPr>
    </w:p>
    <w:p w14:paraId="088B8811" w14:textId="355E9099" w:rsidR="00706317" w:rsidRDefault="00706317" w:rsidP="002F789B">
      <w:pPr>
        <w:pStyle w:val="Heading3"/>
      </w:pPr>
      <w:bookmarkStart w:id="12" w:name="_Toc79749666"/>
      <w:r>
        <w:t>Défendre les droits en s’adaptant</w:t>
      </w:r>
      <w:bookmarkEnd w:id="12"/>
    </w:p>
    <w:p w14:paraId="15C1F89A" w14:textId="31D35080" w:rsidR="00C82324" w:rsidRDefault="00706317" w:rsidP="00CF5A4B">
      <w:pPr>
        <w:spacing w:after="240" w:line="276" w:lineRule="auto"/>
      </w:pPr>
      <w:r>
        <w:t xml:space="preserve">Considérant sa mission, </w:t>
      </w:r>
      <w:r w:rsidR="00166277" w:rsidRPr="00166277">
        <w:rPr>
          <w:b/>
          <w:bCs/>
        </w:rPr>
        <w:t>INCA</w:t>
      </w:r>
      <w:r>
        <w:rPr>
          <w:b/>
          <w:bCs/>
        </w:rPr>
        <w:t xml:space="preserve"> </w:t>
      </w:r>
      <w:r>
        <w:t>oriente ses actions et ses services, offert</w:t>
      </w:r>
      <w:r w:rsidR="00692A1F">
        <w:t>s</w:t>
      </w:r>
      <w:r>
        <w:t xml:space="preserve"> depuis les années</w:t>
      </w:r>
      <w:r w:rsidR="007C2DE9">
        <w:t> </w:t>
      </w:r>
      <w:r w:rsidR="00692A1F">
        <w:t>1950 aux quatre coins du pays, selon les besoins de la société actuelle, se trouvant alors en constant renouvellement, afin de demeurer à jour dans ce qu’</w:t>
      </w:r>
      <w:r w:rsidR="00166277" w:rsidRPr="00166277">
        <w:rPr>
          <w:b/>
          <w:bCs/>
        </w:rPr>
        <w:t>INCA</w:t>
      </w:r>
      <w:r w:rsidR="00692A1F">
        <w:rPr>
          <w:b/>
          <w:bCs/>
        </w:rPr>
        <w:t xml:space="preserve"> </w:t>
      </w:r>
      <w:r w:rsidR="00692A1F">
        <w:t xml:space="preserve">a à offrir aux citoyens aveugles. </w:t>
      </w:r>
      <w:r w:rsidR="004F4C6C">
        <w:t xml:space="preserve">Réalisant très rapidement l’apport que peuvent avoir les nouvelles technologies numériques pour les personnes aveugles, la fondation ne tarde pas à </w:t>
      </w:r>
      <w:r w:rsidR="00F947D9">
        <w:t xml:space="preserve">s’éduquer en la matière afin de se démarquer en </w:t>
      </w:r>
      <w:r w:rsidR="00DC3477">
        <w:t>enseignant l’informatique aux personnes aveugles, se présentant alors comme pionnière</w:t>
      </w:r>
      <w:r w:rsidR="00474A02">
        <w:t>.</w:t>
      </w:r>
    </w:p>
    <w:p w14:paraId="1E76ED13" w14:textId="054031CD" w:rsidR="00264F55" w:rsidRDefault="00264F55" w:rsidP="00CF5A4B">
      <w:pPr>
        <w:spacing w:after="240" w:line="276" w:lineRule="auto"/>
      </w:pPr>
      <w:r>
        <w:t xml:space="preserve">L’informatisation permet également à </w:t>
      </w:r>
      <w:r w:rsidR="00166277" w:rsidRPr="00166277">
        <w:rPr>
          <w:b/>
          <w:bCs/>
        </w:rPr>
        <w:t>INCA</w:t>
      </w:r>
      <w:r>
        <w:rPr>
          <w:b/>
          <w:bCs/>
        </w:rPr>
        <w:t xml:space="preserve"> </w:t>
      </w:r>
      <w:r>
        <w:t xml:space="preserve">d’élargir la portée de ses services </w:t>
      </w:r>
      <w:r w:rsidR="00DA5289">
        <w:t xml:space="preserve">de livres, alors que l’enregistrement de livres audio et l’impression en braille sont facilités par l’arrivée des nouvelles technologies informatiques. </w:t>
      </w:r>
    </w:p>
    <w:p w14:paraId="1B8003DC" w14:textId="0060BD73" w:rsidR="002179A7" w:rsidRDefault="002179A7" w:rsidP="00CF5A4B">
      <w:pPr>
        <w:spacing w:after="240" w:line="276" w:lineRule="auto"/>
      </w:pPr>
      <w:r>
        <w:t xml:space="preserve">Parallèlement, </w:t>
      </w:r>
      <w:r w:rsidR="00166277" w:rsidRPr="00166277">
        <w:rPr>
          <w:b/>
          <w:bCs/>
        </w:rPr>
        <w:t>INCA</w:t>
      </w:r>
      <w:r>
        <w:t xml:space="preserve"> poursuit </w:t>
      </w:r>
      <w:r w:rsidR="00391925">
        <w:t xml:space="preserve">la défense des droits des personnes aveugles en brisant les barrières pour </w:t>
      </w:r>
      <w:r w:rsidR="005C613A">
        <w:t xml:space="preserve">permettre à tous les citoyens canadiens d’être sensibilisés quant à la perte de vision et </w:t>
      </w:r>
      <w:r w:rsidR="00B10777">
        <w:t xml:space="preserve">d’avoir accès à des soins </w:t>
      </w:r>
      <w:r w:rsidR="00E70749">
        <w:t xml:space="preserve">oculaires. </w:t>
      </w:r>
    </w:p>
    <w:p w14:paraId="7EE55EE5" w14:textId="7B83E090" w:rsidR="006F40C7" w:rsidRDefault="006F40C7" w:rsidP="00CF5A4B">
      <w:pPr>
        <w:spacing w:after="240" w:line="276" w:lineRule="auto"/>
      </w:pPr>
      <w:r>
        <w:t>La défense des droits ne s’arrête pas là, alors que la fondation suit la cadence de l’évolution de la société</w:t>
      </w:r>
      <w:r w:rsidR="009D2D06">
        <w:t xml:space="preserve">, en innovant encore une fois afin </w:t>
      </w:r>
      <w:r w:rsidR="009D2D06">
        <w:lastRenderedPageBreak/>
        <w:t>d</w:t>
      </w:r>
      <w:r w:rsidR="00C75D20">
        <w:t>’offrir aux personnes aveugles une société plus inclusive</w:t>
      </w:r>
      <w:r w:rsidR="00FC000C">
        <w:t xml:space="preserve"> dans tous les domaines, notamment l’emploi. </w:t>
      </w:r>
    </w:p>
    <w:p w14:paraId="0D4AEBC0" w14:textId="77777777" w:rsidR="002F789B" w:rsidRDefault="002F789B" w:rsidP="00CF5A4B">
      <w:pPr>
        <w:spacing w:after="240" w:line="276" w:lineRule="auto"/>
      </w:pPr>
    </w:p>
    <w:p w14:paraId="5036E34D" w14:textId="2E965CAC" w:rsidR="002A3A3F" w:rsidRDefault="002A3A3F" w:rsidP="002F789B">
      <w:pPr>
        <w:pStyle w:val="Heading3"/>
      </w:pPr>
      <w:bookmarkStart w:id="13" w:name="_Toc79749667"/>
      <w:r>
        <w:t>L’aube du XXI</w:t>
      </w:r>
      <w:r>
        <w:rPr>
          <w:vertAlign w:val="superscript"/>
        </w:rPr>
        <w:t>e</w:t>
      </w:r>
      <w:r w:rsidR="006152C6">
        <w:t> </w:t>
      </w:r>
      <w:r>
        <w:t>siècle</w:t>
      </w:r>
      <w:bookmarkEnd w:id="13"/>
    </w:p>
    <w:p w14:paraId="152C8F17" w14:textId="51BCCAE9" w:rsidR="002A3A3F" w:rsidRDefault="00170FC2" w:rsidP="00CF5A4B">
      <w:pPr>
        <w:spacing w:after="240" w:line="276" w:lineRule="auto"/>
      </w:pPr>
      <w:r>
        <w:t>Lorsque</w:t>
      </w:r>
      <w:r w:rsidR="002A3A3F">
        <w:t xml:space="preserve"> le </w:t>
      </w:r>
      <w:r w:rsidR="003634E4">
        <w:t>XXI</w:t>
      </w:r>
      <w:r w:rsidR="003634E4">
        <w:rPr>
          <w:vertAlign w:val="superscript"/>
        </w:rPr>
        <w:t>e</w:t>
      </w:r>
      <w:r w:rsidR="006152C6">
        <w:t> </w:t>
      </w:r>
      <w:r w:rsidR="003634E4">
        <w:t xml:space="preserve">siècle </w:t>
      </w:r>
      <w:r>
        <w:t xml:space="preserve">frappe à nos portes, </w:t>
      </w:r>
      <w:r w:rsidR="00166277" w:rsidRPr="00166277">
        <w:rPr>
          <w:b/>
          <w:bCs/>
        </w:rPr>
        <w:t>INCA</w:t>
      </w:r>
      <w:r>
        <w:rPr>
          <w:b/>
          <w:bCs/>
        </w:rPr>
        <w:t xml:space="preserve"> </w:t>
      </w:r>
      <w:r>
        <w:t>est une fois de plus au</w:t>
      </w:r>
      <w:r w:rsidR="00E23A61">
        <w:t>-</w:t>
      </w:r>
      <w:r>
        <w:t>devant</w:t>
      </w:r>
      <w:r w:rsidR="00E23A61">
        <w:t xml:space="preserve"> des personnes aveugles, assurant ainsi une pleine inclusion dans la société et une égalité sur </w:t>
      </w:r>
      <w:r w:rsidR="00326AD0">
        <w:t>divers plans</w:t>
      </w:r>
      <w:r w:rsidR="00E23A61">
        <w:t xml:space="preserve">. </w:t>
      </w:r>
      <w:r w:rsidR="00326AD0">
        <w:t>D’importants changements ont d’ailleurs vu le jour avec l’arrivé</w:t>
      </w:r>
      <w:r w:rsidR="00353F3F">
        <w:t>e</w:t>
      </w:r>
      <w:r w:rsidR="00326AD0">
        <w:t xml:space="preserve"> de ce millénaire, notamment l</w:t>
      </w:r>
      <w:r w:rsidR="00882248">
        <w:t>’intégration de la bibliothèque de livres numériques d’</w:t>
      </w:r>
      <w:r w:rsidR="00166277" w:rsidRPr="00166277">
        <w:rPr>
          <w:b/>
          <w:bCs/>
        </w:rPr>
        <w:t>INCA</w:t>
      </w:r>
      <w:r w:rsidR="00882248">
        <w:rPr>
          <w:b/>
          <w:bCs/>
        </w:rPr>
        <w:t xml:space="preserve"> </w:t>
      </w:r>
      <w:r w:rsidR="00882248">
        <w:t xml:space="preserve">au </w:t>
      </w:r>
      <w:r w:rsidR="00466980">
        <w:t xml:space="preserve">système de bibliothèques publiques en 2014 et la modification de la </w:t>
      </w:r>
      <w:r w:rsidR="00466980" w:rsidRPr="004F3986">
        <w:rPr>
          <w:b/>
          <w:bCs/>
        </w:rPr>
        <w:t xml:space="preserve">loi </w:t>
      </w:r>
      <w:r w:rsidR="00DB7FF0" w:rsidRPr="004F3986">
        <w:rPr>
          <w:b/>
          <w:bCs/>
        </w:rPr>
        <w:t xml:space="preserve">canadienne </w:t>
      </w:r>
      <w:r w:rsidR="00466980" w:rsidRPr="004F3986">
        <w:rPr>
          <w:b/>
          <w:bCs/>
        </w:rPr>
        <w:t>sur le droit d’auteur</w:t>
      </w:r>
      <w:r w:rsidR="00466980">
        <w:t xml:space="preserve">, </w:t>
      </w:r>
      <w:r w:rsidR="00DB7FF0">
        <w:t xml:space="preserve">permettant ainsi </w:t>
      </w:r>
      <w:r w:rsidR="004F3986">
        <w:t xml:space="preserve">de favoriser et de faciliter l’accès à la lecture pour les personnes aveugles. </w:t>
      </w:r>
    </w:p>
    <w:p w14:paraId="77610E11" w14:textId="4E168375" w:rsidR="00A9105E" w:rsidRDefault="00A9105E" w:rsidP="00CF5A4B">
      <w:pPr>
        <w:spacing w:after="240" w:line="276" w:lineRule="auto"/>
      </w:pPr>
      <w:r>
        <w:t xml:space="preserve">Au cours des cent dernières années, </w:t>
      </w:r>
      <w:r w:rsidR="00166277" w:rsidRPr="00166277">
        <w:rPr>
          <w:b/>
          <w:bCs/>
        </w:rPr>
        <w:t>INCA</w:t>
      </w:r>
      <w:r>
        <w:t xml:space="preserve"> </w:t>
      </w:r>
      <w:r w:rsidR="00F6099C">
        <w:t>a</w:t>
      </w:r>
      <w:r>
        <w:t xml:space="preserve"> apport</w:t>
      </w:r>
      <w:r w:rsidR="00944086">
        <w:t>é</w:t>
      </w:r>
      <w:r>
        <w:t xml:space="preserve"> beaucoup de changement</w:t>
      </w:r>
      <w:r w:rsidR="00944086">
        <w:t>s</w:t>
      </w:r>
      <w:r>
        <w:t xml:space="preserve"> aux conditions de vie des personnes aveugles, les bonifiant significativement et leur permettant ainsi de rêver</w:t>
      </w:r>
      <w:r w:rsidR="005E0E71">
        <w:t xml:space="preserve"> d’une équité et d’une égalité pour tous</w:t>
      </w:r>
      <w:r w:rsidR="00F13C92">
        <w:t>. Encore plusieurs changement</w:t>
      </w:r>
      <w:r w:rsidR="003004F8">
        <w:t>s</w:t>
      </w:r>
      <w:r w:rsidR="00F13C92">
        <w:t xml:space="preserve"> persistent afin d’assurer une accessibilité universelle </w:t>
      </w:r>
      <w:r w:rsidR="00AA5B5D">
        <w:t>et sans discrimination pour les personnes aveugles, mais également pour tou</w:t>
      </w:r>
      <w:r w:rsidR="00353F3F">
        <w:t>s</w:t>
      </w:r>
      <w:r w:rsidR="00AA5B5D">
        <w:t xml:space="preserve"> ceux et celles vivant avec un handicap. </w:t>
      </w:r>
    </w:p>
    <w:p w14:paraId="704B1B26" w14:textId="3B234E3D" w:rsidR="004F3986" w:rsidRPr="002F789B" w:rsidRDefault="00AA5B5D" w:rsidP="00CF5A4B">
      <w:pPr>
        <w:spacing w:after="240" w:line="276" w:lineRule="auto"/>
        <w:rPr>
          <w:b/>
          <w:bCs/>
        </w:rPr>
      </w:pPr>
      <w:r>
        <w:t>C’est donc dans cette lignée</w:t>
      </w:r>
      <w:r w:rsidR="003004F8">
        <w:t xml:space="preserve"> que s’inscrit le projet </w:t>
      </w:r>
      <w:r w:rsidR="003004F8">
        <w:rPr>
          <w:b/>
          <w:bCs/>
        </w:rPr>
        <w:t>Droits devant!</w:t>
      </w:r>
      <w:r w:rsidR="003004F8">
        <w:t xml:space="preserve">, révolutionnant ainsi l’accès à de la documentation accessible </w:t>
      </w:r>
      <w:r w:rsidR="00AB2C4C">
        <w:t xml:space="preserve">et visant à mieux accompagner les personnes aveugles dans la </w:t>
      </w:r>
      <w:r w:rsidR="00AB2C4C">
        <w:rPr>
          <w:b/>
          <w:bCs/>
        </w:rPr>
        <w:t>défense de leur</w:t>
      </w:r>
      <w:r w:rsidR="00353F3F">
        <w:rPr>
          <w:b/>
          <w:bCs/>
        </w:rPr>
        <w:t>s</w:t>
      </w:r>
      <w:r w:rsidR="00AB2C4C">
        <w:rPr>
          <w:b/>
          <w:bCs/>
        </w:rPr>
        <w:t xml:space="preserve"> droits</w:t>
      </w:r>
      <w:r w:rsidR="00045F40">
        <w:t xml:space="preserve"> et ainsi, </w:t>
      </w:r>
      <w:r w:rsidR="00045F40">
        <w:rPr>
          <w:b/>
          <w:bCs/>
        </w:rPr>
        <w:t xml:space="preserve">s’offrir l’égalité à laquelle elles ont droit. </w:t>
      </w:r>
      <w:r w:rsidR="00045F40">
        <w:t>Avec les différents outils</w:t>
      </w:r>
      <w:r w:rsidR="00A33ED4">
        <w:t xml:space="preserve"> que le projet </w:t>
      </w:r>
      <w:r w:rsidR="00A33ED4">
        <w:rPr>
          <w:b/>
          <w:bCs/>
        </w:rPr>
        <w:t>Droits devant!</w:t>
      </w:r>
      <w:r w:rsidR="00A33ED4">
        <w:t xml:space="preserve"> procure, un vent de changement se fait sentir quant à l’accès à de l’inform</w:t>
      </w:r>
      <w:r w:rsidR="00CC093D">
        <w:t>ation juridique pour les personnes vivant avec une limitation visuelle. Ce projet s’efforce d’outiller les personnes aveugles à défendre eux</w:t>
      </w:r>
      <w:r w:rsidR="00353F3F">
        <w:t>-mêmes</w:t>
      </w:r>
      <w:r w:rsidR="00CC093D">
        <w:t xml:space="preserve"> leurs droits, grâce à de la documentation accessible, des formations et des outils pour les soutenir dans la sensibilisation de leur entourage. </w:t>
      </w:r>
      <w:r w:rsidR="00166277" w:rsidRPr="00166277">
        <w:rPr>
          <w:b/>
          <w:bCs/>
        </w:rPr>
        <w:t>INCA</w:t>
      </w:r>
      <w:r w:rsidR="00023D37">
        <w:t xml:space="preserve"> demeure tout de même présent en première ligne afin d’assister les personnes ayant une limitation visuelle dans la défense de leurs droits ainsi que pour promouvoir </w:t>
      </w:r>
      <w:r w:rsidR="00023D37">
        <w:lastRenderedPageBreak/>
        <w:t xml:space="preserve">leur droit à plus grande échelle, changeant ainsi, peu à peu, ce que cela signifie que d’être aveugle dans la société actuelle. </w:t>
      </w:r>
      <w:r w:rsidR="00023D37">
        <w:rPr>
          <w:b/>
          <w:bCs/>
        </w:rPr>
        <w:t xml:space="preserve">Ensemble, faisons respecter les droits des personnes aveugles. </w:t>
      </w:r>
    </w:p>
    <w:sectPr w:rsidR="004F3986" w:rsidRPr="002F789B" w:rsidSect="005364E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B0A42" w14:textId="77777777" w:rsidR="006C6960" w:rsidRDefault="006C6960" w:rsidP="005364EB">
      <w:pPr>
        <w:spacing w:after="0" w:line="240" w:lineRule="auto"/>
      </w:pPr>
      <w:r>
        <w:separator/>
      </w:r>
    </w:p>
  </w:endnote>
  <w:endnote w:type="continuationSeparator" w:id="0">
    <w:p w14:paraId="4FA10B63" w14:textId="77777777" w:rsidR="006C6960" w:rsidRDefault="006C6960" w:rsidP="00536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EA9323AC-6B46-412C-AD8E-D7252238D501}"/>
    <w:embedBold r:id="rId2" w:fontKey="{8F3547EF-62BC-4916-8BA6-7608B1E40ED9}"/>
    <w:embedItalic r:id="rId3" w:fontKey="{06390E1A-773B-4429-8355-6466FFEAA7D5}"/>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embedRegular r:id="rId4" w:fontKey="{55B0F14B-7A43-47E4-8F16-B1DA5CF8F5F6}"/>
    <w:embedBold r:id="rId5" w:fontKey="{7DC56C50-3F4F-4310-BEAA-F49055A5FB22}"/>
  </w:font>
  <w:font w:name="Times New Roman">
    <w:panose1 w:val="02020603050405020304"/>
    <w:charset w:val="00"/>
    <w:family w:val="roman"/>
    <w:pitch w:val="variable"/>
    <w:sig w:usb0="E0002EFF" w:usb1="C000785B" w:usb2="00000009" w:usb3="00000000" w:csb0="000001FF" w:csb1="00000000"/>
  </w:font>
  <w:font w:name="DK Plakkaat">
    <w:altName w:val="Cambria"/>
    <w:panose1 w:val="00090506000000020004"/>
    <w:charset w:val="00"/>
    <w:family w:val="roman"/>
    <w:pitch w:val="variable"/>
    <w:sig w:usb0="8000000F" w:usb1="00000002" w:usb2="00000000" w:usb3="00000000" w:csb0="00000093" w:csb1="00000000"/>
    <w:embedRegular r:id="rId6" w:fontKey="{CE74A54B-7913-4EB3-9B81-1FD611C0924C}"/>
  </w:font>
  <w:font w:name="Stag Sans Book">
    <w:altName w:val="Calibri"/>
    <w:panose1 w:val="020B0503040000020004"/>
    <w:charset w:val="00"/>
    <w:family w:val="swiss"/>
    <w:notTrueType/>
    <w:pitch w:val="variable"/>
    <w:sig w:usb0="00000087" w:usb1="00000000" w:usb2="00000000" w:usb3="00000000" w:csb0="0000009B" w:csb1="00000000"/>
  </w:font>
  <w:font w:name="Stag Sans Semibold">
    <w:altName w:val="Calibri"/>
    <w:panose1 w:val="020B0703040000020004"/>
    <w:charset w:val="00"/>
    <w:family w:val="swiss"/>
    <w:notTrueType/>
    <w:pitch w:val="variable"/>
    <w:sig w:usb0="00000087" w:usb1="00000000" w:usb2="00000000" w:usb3="00000000" w:csb0="0000009B" w:csb1="00000000"/>
  </w:font>
  <w:font w:name="Stag Sans Medium">
    <w:altName w:val="Calibri"/>
    <w:panose1 w:val="020B0603040000020004"/>
    <w:charset w:val="00"/>
    <w:family w:val="swiss"/>
    <w:notTrueType/>
    <w:pitch w:val="variable"/>
    <w:sig w:usb0="00000087" w:usb1="00000000" w:usb2="00000000" w:usb3="00000000" w:csb0="0000009B" w:csb1="00000000"/>
  </w:font>
  <w:font w:name="Consolas">
    <w:panose1 w:val="020B0609020204030204"/>
    <w:charset w:val="00"/>
    <w:family w:val="modern"/>
    <w:pitch w:val="fixed"/>
    <w:sig w:usb0="E00006FF" w:usb1="0000FCFF" w:usb2="00000001" w:usb3="00000000" w:csb0="0000019F" w:csb1="00000000"/>
    <w:embedRegular r:id="rId7" w:fontKey="{4FB70735-9B48-4087-97BA-48D56FBE7DC2}"/>
  </w:font>
  <w:font w:name="Calibri Light">
    <w:panose1 w:val="020F0302020204030204"/>
    <w:charset w:val="00"/>
    <w:family w:val="swiss"/>
    <w:pitch w:val="variable"/>
    <w:sig w:usb0="E4002EFF" w:usb1="C000247B" w:usb2="00000009" w:usb3="00000000" w:csb0="000001FF" w:csb1="00000000"/>
    <w:embedRegular r:id="rId8" w:fontKey="{D03A1C68-CB22-4E78-B49D-3803AD82B5F6}"/>
  </w:font>
  <w:font w:name="Verdana">
    <w:panose1 w:val="020B0604030504040204"/>
    <w:charset w:val="00"/>
    <w:family w:val="swiss"/>
    <w:pitch w:val="variable"/>
    <w:sig w:usb0="A00006FF" w:usb1="4000205B" w:usb2="00000010" w:usb3="00000000" w:csb0="0000019F" w:csb1="00000000"/>
    <w:embedRegular r:id="rId9" w:fontKey="{2A39FDB9-2C7C-4DC5-B649-42E4BC6F462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8195" w14:textId="77777777" w:rsidR="004A622C" w:rsidRDefault="004A6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8"/>
      </w:rPr>
      <w:id w:val="-1879006838"/>
      <w:docPartObj>
        <w:docPartGallery w:val="Page Numbers (Bottom of Page)"/>
        <w:docPartUnique/>
      </w:docPartObj>
    </w:sdtPr>
    <w:sdtEndPr/>
    <w:sdtContent>
      <w:sdt>
        <w:sdtPr>
          <w:rPr>
            <w:szCs w:val="28"/>
          </w:rPr>
          <w:id w:val="-1769616900"/>
          <w:docPartObj>
            <w:docPartGallery w:val="Page Numbers (Top of Page)"/>
            <w:docPartUnique/>
          </w:docPartObj>
        </w:sdtPr>
        <w:sdtEndPr/>
        <w:sdtContent>
          <w:p w14:paraId="0A404F8B" w14:textId="6971A629" w:rsidR="005364EB" w:rsidRPr="005364EB" w:rsidRDefault="005364EB">
            <w:pPr>
              <w:pStyle w:val="Footer"/>
              <w:jc w:val="right"/>
              <w:rPr>
                <w:szCs w:val="28"/>
              </w:rPr>
            </w:pPr>
            <w:r w:rsidRPr="005364EB">
              <w:rPr>
                <w:szCs w:val="28"/>
                <w:lang w:val="fr-FR"/>
              </w:rPr>
              <w:t xml:space="preserve">Page </w:t>
            </w:r>
            <w:r w:rsidRPr="005364EB">
              <w:rPr>
                <w:b/>
                <w:bCs/>
                <w:szCs w:val="28"/>
              </w:rPr>
              <w:fldChar w:fldCharType="begin"/>
            </w:r>
            <w:r w:rsidRPr="005364EB">
              <w:rPr>
                <w:b/>
                <w:bCs/>
                <w:szCs w:val="28"/>
              </w:rPr>
              <w:instrText>PAGE</w:instrText>
            </w:r>
            <w:r w:rsidRPr="005364EB">
              <w:rPr>
                <w:b/>
                <w:bCs/>
                <w:szCs w:val="28"/>
              </w:rPr>
              <w:fldChar w:fldCharType="separate"/>
            </w:r>
            <w:r w:rsidRPr="005364EB">
              <w:rPr>
                <w:b/>
                <w:bCs/>
                <w:szCs w:val="28"/>
                <w:lang w:val="fr-FR"/>
              </w:rPr>
              <w:t>2</w:t>
            </w:r>
            <w:r w:rsidRPr="005364EB">
              <w:rPr>
                <w:b/>
                <w:bCs/>
                <w:szCs w:val="28"/>
              </w:rPr>
              <w:fldChar w:fldCharType="end"/>
            </w:r>
            <w:r w:rsidRPr="005364EB">
              <w:rPr>
                <w:szCs w:val="28"/>
                <w:lang w:val="fr-FR"/>
              </w:rPr>
              <w:t xml:space="preserve"> sur </w:t>
            </w:r>
            <w:r w:rsidRPr="005364EB">
              <w:rPr>
                <w:b/>
                <w:bCs/>
                <w:szCs w:val="28"/>
              </w:rPr>
              <w:fldChar w:fldCharType="begin"/>
            </w:r>
            <w:r w:rsidRPr="005364EB">
              <w:rPr>
                <w:b/>
                <w:bCs/>
                <w:szCs w:val="28"/>
              </w:rPr>
              <w:instrText>NUMPAGES</w:instrText>
            </w:r>
            <w:r w:rsidRPr="005364EB">
              <w:rPr>
                <w:b/>
                <w:bCs/>
                <w:szCs w:val="28"/>
              </w:rPr>
              <w:fldChar w:fldCharType="separate"/>
            </w:r>
            <w:r w:rsidRPr="005364EB">
              <w:rPr>
                <w:b/>
                <w:bCs/>
                <w:szCs w:val="28"/>
                <w:lang w:val="fr-FR"/>
              </w:rPr>
              <w:t>2</w:t>
            </w:r>
            <w:r w:rsidRPr="005364EB">
              <w:rPr>
                <w:b/>
                <w:bCs/>
                <w:szCs w:val="28"/>
              </w:rPr>
              <w:fldChar w:fldCharType="end"/>
            </w:r>
          </w:p>
        </w:sdtContent>
      </w:sdt>
    </w:sdtContent>
  </w:sdt>
  <w:p w14:paraId="4F160EC2" w14:textId="77777777" w:rsidR="005364EB" w:rsidRDefault="005364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C6B4" w14:textId="77777777" w:rsidR="004A622C" w:rsidRDefault="004A62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5517E" w14:textId="77777777" w:rsidR="006C6960" w:rsidRDefault="006C6960" w:rsidP="005364EB">
      <w:pPr>
        <w:spacing w:after="0" w:line="240" w:lineRule="auto"/>
      </w:pPr>
      <w:r>
        <w:separator/>
      </w:r>
    </w:p>
  </w:footnote>
  <w:footnote w:type="continuationSeparator" w:id="0">
    <w:p w14:paraId="6800E4E6" w14:textId="77777777" w:rsidR="006C6960" w:rsidRDefault="006C6960" w:rsidP="005364EB">
      <w:pPr>
        <w:spacing w:after="0" w:line="240" w:lineRule="auto"/>
      </w:pPr>
      <w:r>
        <w:continuationSeparator/>
      </w:r>
    </w:p>
  </w:footnote>
  <w:footnote w:id="1">
    <w:p w14:paraId="29C1827C" w14:textId="1D56FF77" w:rsidR="004F5898" w:rsidRPr="001070A5" w:rsidRDefault="004F5898" w:rsidP="001070A5">
      <w:pPr>
        <w:pStyle w:val="FootnoteText"/>
        <w:ind w:left="0" w:firstLine="6"/>
        <w:jc w:val="left"/>
        <w:rPr>
          <w:rFonts w:ascii="Arial" w:hAnsi="Arial" w:cs="Arial"/>
          <w:sz w:val="24"/>
          <w:szCs w:val="24"/>
        </w:rPr>
      </w:pPr>
      <w:r w:rsidRPr="001070A5">
        <w:rPr>
          <w:rStyle w:val="FootnoteReference"/>
          <w:rFonts w:ascii="Arial" w:hAnsi="Arial" w:cs="Arial"/>
          <w:sz w:val="24"/>
          <w:szCs w:val="24"/>
        </w:rPr>
        <w:footnoteRef/>
      </w:r>
      <w:r w:rsidRPr="001070A5">
        <w:rPr>
          <w:rFonts w:ascii="Arial" w:hAnsi="Arial" w:cs="Arial"/>
          <w:sz w:val="24"/>
          <w:szCs w:val="24"/>
        </w:rPr>
        <w:t xml:space="preserve"> V. sur ce point </w:t>
      </w:r>
      <w:r w:rsidRPr="001070A5">
        <w:rPr>
          <w:rFonts w:ascii="Arial" w:hAnsi="Arial" w:cs="Arial"/>
          <w:b/>
          <w:bCs/>
          <w:sz w:val="24"/>
          <w:szCs w:val="24"/>
        </w:rPr>
        <w:t>Le handicap : droit, histoire, médecine</w:t>
      </w:r>
      <w:r w:rsidRPr="001070A5">
        <w:rPr>
          <w:rFonts w:ascii="Arial" w:hAnsi="Arial" w:cs="Arial"/>
          <w:sz w:val="24"/>
          <w:szCs w:val="24"/>
        </w:rPr>
        <w:t>, Actes du colloque organisé à Montpellier les 6 et 7</w:t>
      </w:r>
      <w:r w:rsidR="0081253B" w:rsidRPr="001070A5">
        <w:rPr>
          <w:rFonts w:ascii="Arial" w:hAnsi="Arial" w:cs="Arial"/>
          <w:sz w:val="24"/>
          <w:szCs w:val="24"/>
        </w:rPr>
        <w:t> </w:t>
      </w:r>
      <w:r w:rsidRPr="001070A5">
        <w:rPr>
          <w:rFonts w:ascii="Arial" w:hAnsi="Arial" w:cs="Arial"/>
          <w:sz w:val="24"/>
          <w:szCs w:val="24"/>
        </w:rPr>
        <w:t>novembre 2003 par le Centre de Droit de la santé de la Faculté de droit d’Aix-Marseille, dir. A. Leca, PUAM, 2004, p.</w:t>
      </w:r>
      <w:r w:rsidR="0081253B" w:rsidRPr="001070A5">
        <w:rPr>
          <w:rFonts w:ascii="Arial" w:hAnsi="Arial" w:cs="Arial"/>
          <w:sz w:val="24"/>
          <w:szCs w:val="24"/>
        </w:rPr>
        <w:t> </w:t>
      </w:r>
      <w:r w:rsidRPr="001070A5">
        <w:rPr>
          <w:rFonts w:ascii="Arial" w:hAnsi="Arial" w:cs="Arial"/>
          <w:sz w:val="24"/>
          <w:szCs w:val="24"/>
        </w:rPr>
        <w:t>11</w:t>
      </w:r>
      <w:r w:rsidR="00297CB5" w:rsidRPr="001070A5">
        <w:rPr>
          <w:rFonts w:ascii="Arial" w:hAnsi="Arial" w:cs="Arial"/>
          <w:sz w:val="24"/>
          <w:szCs w:val="24"/>
        </w:rPr>
        <w:t> </w:t>
      </w:r>
      <w:r w:rsidRPr="001070A5">
        <w:rPr>
          <w:rFonts w:ascii="Arial" w:hAnsi="Arial" w:cs="Arial"/>
          <w:sz w:val="24"/>
          <w:szCs w:val="24"/>
        </w:rPr>
        <w:t>; J.-B.</w:t>
      </w:r>
      <w:r w:rsidR="007C2DE9">
        <w:rPr>
          <w:rFonts w:ascii="Arial" w:hAnsi="Arial" w:cs="Arial"/>
          <w:sz w:val="24"/>
          <w:szCs w:val="24"/>
        </w:rPr>
        <w:t> </w:t>
      </w:r>
      <w:r w:rsidRPr="001070A5">
        <w:rPr>
          <w:rFonts w:ascii="Arial" w:hAnsi="Arial" w:cs="Arial"/>
          <w:sz w:val="24"/>
          <w:szCs w:val="24"/>
        </w:rPr>
        <w:t xml:space="preserve">Thierry, </w:t>
      </w:r>
      <w:r w:rsidRPr="001070A5">
        <w:rPr>
          <w:rFonts w:ascii="Arial" w:hAnsi="Arial" w:cs="Arial"/>
          <w:b/>
          <w:bCs/>
          <w:iCs/>
          <w:sz w:val="24"/>
          <w:szCs w:val="24"/>
        </w:rPr>
        <w:t>Le handicap en droit criminel,</w:t>
      </w:r>
      <w:r w:rsidRPr="001070A5">
        <w:rPr>
          <w:rFonts w:ascii="Arial" w:hAnsi="Arial" w:cs="Arial"/>
          <w:sz w:val="24"/>
          <w:szCs w:val="24"/>
        </w:rPr>
        <w:t xml:space="preserve"> thèse dactyl., Nancy, 2006, n°</w:t>
      </w:r>
      <w:r w:rsidR="0081253B" w:rsidRPr="001070A5">
        <w:rPr>
          <w:rFonts w:ascii="Arial" w:hAnsi="Arial" w:cs="Arial"/>
          <w:sz w:val="24"/>
          <w:szCs w:val="24"/>
        </w:rPr>
        <w:t> </w:t>
      </w:r>
      <w:r w:rsidRPr="001070A5">
        <w:rPr>
          <w:rFonts w:ascii="Arial" w:hAnsi="Arial" w:cs="Arial"/>
          <w:sz w:val="24"/>
          <w:szCs w:val="24"/>
        </w:rPr>
        <w:t>4.</w:t>
      </w:r>
    </w:p>
  </w:footnote>
  <w:footnote w:id="2">
    <w:p w14:paraId="3EFA3623" w14:textId="02C6E782" w:rsidR="004F5898" w:rsidRPr="001070A5" w:rsidRDefault="004F5898" w:rsidP="001070A5">
      <w:pPr>
        <w:spacing w:after="0"/>
        <w:ind w:firstLine="6"/>
        <w:rPr>
          <w:rFonts w:cs="Arial"/>
          <w:sz w:val="24"/>
          <w:szCs w:val="24"/>
        </w:rPr>
      </w:pPr>
      <w:r w:rsidRPr="001070A5">
        <w:rPr>
          <w:rStyle w:val="FootnoteReference"/>
          <w:rFonts w:cs="Arial"/>
          <w:sz w:val="24"/>
          <w:szCs w:val="24"/>
        </w:rPr>
        <w:footnoteRef/>
      </w:r>
      <w:r w:rsidRPr="001070A5">
        <w:rPr>
          <w:rFonts w:cs="Arial"/>
          <w:sz w:val="24"/>
          <w:szCs w:val="24"/>
        </w:rPr>
        <w:t xml:space="preserve"> Voir à ce sujet H.</w:t>
      </w:r>
      <w:r w:rsidR="007C2DE9">
        <w:rPr>
          <w:rFonts w:cs="Arial"/>
          <w:sz w:val="24"/>
          <w:szCs w:val="24"/>
        </w:rPr>
        <w:t> </w:t>
      </w:r>
      <w:r w:rsidRPr="001070A5">
        <w:rPr>
          <w:rFonts w:cs="Arial"/>
          <w:sz w:val="24"/>
          <w:szCs w:val="24"/>
        </w:rPr>
        <w:t xml:space="preserve">MORADZADEH, </w:t>
      </w:r>
      <w:r w:rsidRPr="001070A5">
        <w:rPr>
          <w:rFonts w:cs="Arial"/>
          <w:b/>
          <w:bCs/>
          <w:sz w:val="24"/>
          <w:szCs w:val="24"/>
        </w:rPr>
        <w:t>Les handicapés en droit de la responsabilité civile</w:t>
      </w:r>
      <w:r w:rsidRPr="001070A5">
        <w:rPr>
          <w:rFonts w:cs="Arial"/>
          <w:sz w:val="24"/>
          <w:szCs w:val="24"/>
        </w:rPr>
        <w:t>,</w:t>
      </w:r>
      <w:r w:rsidR="00392398" w:rsidRPr="001070A5">
        <w:rPr>
          <w:rFonts w:cs="Arial"/>
          <w:sz w:val="24"/>
          <w:szCs w:val="24"/>
        </w:rPr>
        <w:t xml:space="preserve"> </w:t>
      </w:r>
      <w:r w:rsidRPr="001070A5">
        <w:rPr>
          <w:rFonts w:cs="Arial"/>
          <w:sz w:val="24"/>
          <w:szCs w:val="24"/>
        </w:rPr>
        <w:t>Atelier National de</w:t>
      </w:r>
      <w:r w:rsidR="007C3A71" w:rsidRPr="001070A5">
        <w:rPr>
          <w:rFonts w:cs="Arial"/>
          <w:sz w:val="24"/>
          <w:szCs w:val="24"/>
        </w:rPr>
        <w:t xml:space="preserve"> </w:t>
      </w:r>
      <w:r w:rsidRPr="001070A5">
        <w:rPr>
          <w:rFonts w:cs="Arial"/>
          <w:sz w:val="24"/>
          <w:szCs w:val="24"/>
        </w:rPr>
        <w:t>Reproduction des Thèses, France, 2009, p</w:t>
      </w:r>
      <w:r w:rsidR="0081253B" w:rsidRPr="001070A5">
        <w:rPr>
          <w:rFonts w:cs="Arial"/>
          <w:sz w:val="24"/>
          <w:szCs w:val="24"/>
        </w:rPr>
        <w:t> </w:t>
      </w:r>
      <w:r w:rsidRPr="001070A5">
        <w:rPr>
          <w:rFonts w:cs="Arial"/>
          <w:sz w:val="24"/>
          <w:szCs w:val="24"/>
        </w:rPr>
        <w:t xml:space="preserve">7. </w:t>
      </w:r>
    </w:p>
  </w:footnote>
  <w:footnote w:id="3">
    <w:p w14:paraId="13BD181C" w14:textId="26FAB29A" w:rsidR="004F5898" w:rsidRPr="00C51CD7" w:rsidRDefault="004F5898" w:rsidP="001070A5">
      <w:pPr>
        <w:pStyle w:val="FootnoteText"/>
        <w:ind w:left="0" w:firstLine="0"/>
        <w:jc w:val="left"/>
        <w:rPr>
          <w:rFonts w:ascii="Stag Sans Book" w:hAnsi="Stag Sans Book"/>
        </w:rPr>
      </w:pPr>
      <w:r w:rsidRPr="001070A5">
        <w:rPr>
          <w:rStyle w:val="FootnoteReference"/>
          <w:rFonts w:ascii="Arial" w:hAnsi="Arial" w:cs="Arial"/>
          <w:sz w:val="24"/>
          <w:szCs w:val="24"/>
        </w:rPr>
        <w:footnoteRef/>
      </w:r>
      <w:r w:rsidRPr="001070A5">
        <w:rPr>
          <w:rFonts w:ascii="Arial" w:hAnsi="Arial" w:cs="Arial"/>
          <w:sz w:val="24"/>
          <w:szCs w:val="24"/>
        </w:rPr>
        <w:t xml:space="preserve"> Sur cette classification, V. le site </w:t>
      </w:r>
      <w:hyperlink r:id="rId1" w:history="1">
        <w:r w:rsidR="00C51CD7" w:rsidRPr="001070A5">
          <w:rPr>
            <w:rStyle w:val="Hyperlink"/>
            <w:rFonts w:ascii="Arial" w:hAnsi="Arial" w:cs="Arial"/>
            <w:sz w:val="24"/>
            <w:szCs w:val="24"/>
          </w:rPr>
          <w:t>http://ifr-handicap.inserm.fr/nouv06/CIF-demographie-06.pdf</w:t>
        </w:r>
      </w:hyperlink>
      <w:r w:rsidR="00C51CD7" w:rsidRPr="001070A5">
        <w:rPr>
          <w:rFonts w:ascii="Arial" w:hAnsi="Arial" w:cs="Arial"/>
          <w:sz w:val="24"/>
          <w:szCs w:val="24"/>
        </w:rPr>
        <w:t>.</w:t>
      </w:r>
      <w:r w:rsidRPr="00A74DF2">
        <w:rPr>
          <w:rFonts w:ascii="Verdana" w:hAnsi="Verdana"/>
          <w:sz w:val="24"/>
          <w:szCs w:val="24"/>
        </w:rPr>
        <w:t xml:space="preserve"> </w:t>
      </w:r>
    </w:p>
  </w:footnote>
  <w:footnote w:id="4">
    <w:p w14:paraId="30ED74C1" w14:textId="53F2BD68" w:rsidR="004F5898" w:rsidRPr="001070A5" w:rsidRDefault="004F5898" w:rsidP="004F79BD">
      <w:pPr>
        <w:pStyle w:val="FootnoteText"/>
        <w:ind w:left="0" w:firstLine="6"/>
        <w:jc w:val="left"/>
        <w:rPr>
          <w:rFonts w:ascii="Arial" w:hAnsi="Arial" w:cs="Arial"/>
          <w:i/>
          <w:iCs/>
          <w:sz w:val="24"/>
          <w:szCs w:val="24"/>
          <w:lang w:val="en-US"/>
        </w:rPr>
      </w:pPr>
      <w:r w:rsidRPr="001070A5">
        <w:rPr>
          <w:rStyle w:val="FootnoteReference"/>
          <w:rFonts w:ascii="Arial" w:hAnsi="Arial" w:cs="Arial"/>
          <w:sz w:val="24"/>
          <w:szCs w:val="24"/>
        </w:rPr>
        <w:footnoteRef/>
      </w:r>
      <w:r w:rsidRPr="001070A5">
        <w:rPr>
          <w:rFonts w:ascii="Arial" w:hAnsi="Arial" w:cs="Arial"/>
          <w:sz w:val="24"/>
          <w:szCs w:val="24"/>
          <w:lang w:val="en-GB"/>
        </w:rPr>
        <w:t xml:space="preserve"> Voir sur ce sujet </w:t>
      </w:r>
      <w:r w:rsidRPr="001070A5">
        <w:rPr>
          <w:rFonts w:ascii="Arial" w:hAnsi="Arial" w:cs="Arial"/>
          <w:sz w:val="24"/>
          <w:szCs w:val="24"/>
          <w:lang w:val="en-US"/>
        </w:rPr>
        <w:t>A.-G. White</w:t>
      </w:r>
      <w:r w:rsidRPr="001070A5">
        <w:rPr>
          <w:rFonts w:ascii="Arial" w:hAnsi="Arial" w:cs="Arial"/>
          <w:sz w:val="24"/>
          <w:szCs w:val="24"/>
          <w:lang w:val="en-US" w:bidi="fa-IR"/>
        </w:rPr>
        <w:t xml:space="preserve">, </w:t>
      </w:r>
      <w:r w:rsidRPr="001070A5">
        <w:rPr>
          <w:rFonts w:ascii="Arial" w:hAnsi="Arial" w:cs="Arial"/>
          <w:b/>
          <w:bCs/>
          <w:sz w:val="24"/>
          <w:szCs w:val="24"/>
          <w:lang w:val="en-US"/>
        </w:rPr>
        <w:t>Paralyzing Discord</w:t>
      </w:r>
      <w:r w:rsidR="00297CB5" w:rsidRPr="001070A5">
        <w:rPr>
          <w:rFonts w:ascii="Arial" w:hAnsi="Arial" w:cs="Arial"/>
          <w:b/>
          <w:bCs/>
          <w:sz w:val="24"/>
          <w:szCs w:val="24"/>
          <w:lang w:val="en-US"/>
        </w:rPr>
        <w:t> </w:t>
      </w:r>
      <w:r w:rsidRPr="001070A5">
        <w:rPr>
          <w:rFonts w:ascii="Arial" w:hAnsi="Arial" w:cs="Arial"/>
          <w:b/>
          <w:bCs/>
          <w:sz w:val="24"/>
          <w:szCs w:val="24"/>
          <w:lang w:val="en-US"/>
        </w:rPr>
        <w:t>: Workplace Safety, Paternalism, And The Accommodation Of Biological Variance In The Americans With Disabilities Act</w:t>
      </w:r>
      <w:r w:rsidRPr="001070A5">
        <w:rPr>
          <w:rFonts w:ascii="Arial" w:hAnsi="Arial" w:cs="Arial"/>
          <w:b/>
          <w:bCs/>
          <w:sz w:val="24"/>
          <w:szCs w:val="24"/>
          <w:lang w:val="en-US" w:bidi="fa-IR"/>
        </w:rPr>
        <w:t xml:space="preserve">, </w:t>
      </w:r>
      <w:r w:rsidRPr="001070A5">
        <w:rPr>
          <w:rFonts w:ascii="Arial" w:hAnsi="Arial" w:cs="Arial"/>
          <w:b/>
          <w:bCs/>
          <w:sz w:val="24"/>
          <w:szCs w:val="24"/>
          <w:lang w:val="en-US"/>
        </w:rPr>
        <w:t>Louisiana Law Review,</w:t>
      </w:r>
      <w:r w:rsidRPr="001070A5">
        <w:rPr>
          <w:rFonts w:ascii="Arial" w:hAnsi="Arial" w:cs="Arial"/>
          <w:sz w:val="24"/>
          <w:szCs w:val="24"/>
          <w:lang w:val="en-US"/>
        </w:rPr>
        <w:t xml:space="preserve"> Winter, 2003, p.</w:t>
      </w:r>
      <w:r w:rsidR="00A12746" w:rsidRPr="001070A5">
        <w:rPr>
          <w:rFonts w:ascii="Arial" w:hAnsi="Arial" w:cs="Arial"/>
          <w:sz w:val="24"/>
          <w:szCs w:val="24"/>
          <w:lang w:val="en-US"/>
        </w:rPr>
        <w:t> </w:t>
      </w:r>
      <w:r w:rsidRPr="001070A5">
        <w:rPr>
          <w:rFonts w:ascii="Arial" w:hAnsi="Arial" w:cs="Arial"/>
          <w:sz w:val="24"/>
          <w:szCs w:val="24"/>
          <w:lang w:val="en-US"/>
        </w:rPr>
        <w:t xml:space="preserve">537; </w:t>
      </w:r>
      <w:r w:rsidRPr="001070A5">
        <w:rPr>
          <w:rFonts w:ascii="Arial" w:hAnsi="Arial" w:cs="Arial"/>
          <w:sz w:val="24"/>
          <w:szCs w:val="24"/>
          <w:lang w:val="en-GB"/>
        </w:rPr>
        <w:t xml:space="preserve">E.-G Jonathan C. Drimmer, </w:t>
      </w:r>
      <w:r w:rsidRPr="001070A5">
        <w:rPr>
          <w:rFonts w:ascii="Arial" w:hAnsi="Arial" w:cs="Arial"/>
          <w:b/>
          <w:bCs/>
          <w:sz w:val="24"/>
          <w:szCs w:val="24"/>
          <w:lang w:val="en-GB"/>
        </w:rPr>
        <w:t>Cripples, Overcomers, and Civil Rights: Tracing the Evolution of Federal Legislation and Social Policy for People with Disabilities</w:t>
      </w:r>
      <w:r w:rsidRPr="001070A5">
        <w:rPr>
          <w:rFonts w:ascii="Arial" w:hAnsi="Arial" w:cs="Arial"/>
          <w:sz w:val="24"/>
          <w:szCs w:val="24"/>
          <w:lang w:val="en-GB"/>
        </w:rPr>
        <w:t>, 40 UCLA L. Rev., p.</w:t>
      </w:r>
      <w:r w:rsidR="00A12746" w:rsidRPr="001070A5">
        <w:rPr>
          <w:rFonts w:ascii="Arial" w:hAnsi="Arial" w:cs="Arial"/>
          <w:sz w:val="24"/>
          <w:szCs w:val="24"/>
          <w:lang w:val="en-GB"/>
        </w:rPr>
        <w:t> </w:t>
      </w:r>
      <w:r w:rsidRPr="001070A5">
        <w:rPr>
          <w:rFonts w:ascii="Arial" w:hAnsi="Arial" w:cs="Arial"/>
          <w:sz w:val="24"/>
          <w:szCs w:val="24"/>
          <w:lang w:val="en-GB"/>
        </w:rPr>
        <w:t>1348.</w:t>
      </w:r>
    </w:p>
  </w:footnote>
  <w:footnote w:id="5">
    <w:p w14:paraId="20A4D07B" w14:textId="19F31C22" w:rsidR="004F5898" w:rsidRPr="001070A5" w:rsidRDefault="004F5898" w:rsidP="004F79BD">
      <w:pPr>
        <w:pStyle w:val="FootnoteText"/>
        <w:ind w:left="0" w:firstLine="6"/>
        <w:jc w:val="left"/>
        <w:rPr>
          <w:rFonts w:ascii="Arial" w:hAnsi="Arial" w:cs="Arial"/>
          <w:sz w:val="24"/>
          <w:szCs w:val="24"/>
        </w:rPr>
      </w:pPr>
      <w:r w:rsidRPr="001070A5">
        <w:rPr>
          <w:rStyle w:val="FootnoteReference"/>
          <w:rFonts w:ascii="Arial" w:hAnsi="Arial" w:cs="Arial"/>
          <w:sz w:val="24"/>
          <w:szCs w:val="24"/>
        </w:rPr>
        <w:footnoteRef/>
      </w:r>
      <w:r w:rsidRPr="001070A5">
        <w:rPr>
          <w:rFonts w:ascii="Arial" w:hAnsi="Arial" w:cs="Arial"/>
          <w:sz w:val="24"/>
          <w:szCs w:val="24"/>
        </w:rPr>
        <w:t xml:space="preserve"> Voir à ce sujet H.</w:t>
      </w:r>
      <w:r w:rsidR="007C2DE9">
        <w:rPr>
          <w:rFonts w:ascii="Arial" w:hAnsi="Arial" w:cs="Arial"/>
          <w:sz w:val="24"/>
          <w:szCs w:val="24"/>
        </w:rPr>
        <w:t> </w:t>
      </w:r>
      <w:r w:rsidRPr="001070A5">
        <w:rPr>
          <w:rFonts w:ascii="Arial" w:hAnsi="Arial" w:cs="Arial"/>
          <w:sz w:val="24"/>
          <w:szCs w:val="24"/>
        </w:rPr>
        <w:t>MORADZADEH, thèse précitée, p</w:t>
      </w:r>
      <w:r w:rsidR="0081253B" w:rsidRPr="001070A5">
        <w:rPr>
          <w:rFonts w:ascii="Arial" w:hAnsi="Arial" w:cs="Arial"/>
          <w:sz w:val="24"/>
          <w:szCs w:val="24"/>
        </w:rPr>
        <w:t> </w:t>
      </w:r>
      <w:r w:rsidRPr="001070A5">
        <w:rPr>
          <w:rFonts w:ascii="Arial" w:hAnsi="Arial" w:cs="Arial"/>
          <w:sz w:val="24"/>
          <w:szCs w:val="24"/>
        </w:rPr>
        <w:t xml:space="preserve">8. </w:t>
      </w:r>
    </w:p>
  </w:footnote>
  <w:footnote w:id="6">
    <w:p w14:paraId="6DDEB348" w14:textId="79E2C087" w:rsidR="004F5898" w:rsidRPr="0015232D" w:rsidRDefault="004F5898" w:rsidP="004F79BD">
      <w:pPr>
        <w:pStyle w:val="FootnoteText"/>
        <w:ind w:left="0" w:firstLine="6"/>
        <w:jc w:val="left"/>
        <w:rPr>
          <w:rFonts w:ascii="Verdana" w:hAnsi="Verdana"/>
          <w:lang w:val="en-GB"/>
        </w:rPr>
      </w:pPr>
      <w:r w:rsidRPr="001070A5">
        <w:rPr>
          <w:rStyle w:val="FootnoteReference"/>
          <w:rFonts w:ascii="Arial" w:hAnsi="Arial" w:cs="Arial"/>
          <w:sz w:val="24"/>
          <w:szCs w:val="24"/>
        </w:rPr>
        <w:footnoteRef/>
      </w:r>
      <w:r w:rsidRPr="001070A5">
        <w:rPr>
          <w:rFonts w:ascii="Arial" w:hAnsi="Arial" w:cs="Arial"/>
          <w:sz w:val="24"/>
          <w:szCs w:val="24"/>
          <w:lang w:val="en-GB"/>
        </w:rPr>
        <w:t xml:space="preserve"> V. J.-P. Shapiro, </w:t>
      </w:r>
      <w:r w:rsidRPr="001070A5">
        <w:rPr>
          <w:rFonts w:ascii="Arial" w:hAnsi="Arial" w:cs="Arial"/>
          <w:b/>
          <w:bCs/>
          <w:sz w:val="24"/>
          <w:szCs w:val="24"/>
          <w:lang w:val="en-GB"/>
        </w:rPr>
        <w:t>No Pity: People with Disabilities Forging a New Civil Rights Movement</w:t>
      </w:r>
      <w:r w:rsidRPr="001070A5">
        <w:rPr>
          <w:rFonts w:ascii="Arial" w:hAnsi="Arial" w:cs="Arial"/>
          <w:i/>
          <w:iCs/>
          <w:sz w:val="24"/>
          <w:szCs w:val="24"/>
          <w:lang w:val="en-GB"/>
        </w:rPr>
        <w:t xml:space="preserve">, </w:t>
      </w:r>
      <w:r w:rsidRPr="001070A5">
        <w:rPr>
          <w:rFonts w:ascii="Arial" w:hAnsi="Arial" w:cs="Arial"/>
          <w:sz w:val="24"/>
          <w:szCs w:val="24"/>
          <w:lang w:val="en-GB"/>
        </w:rPr>
        <w:t>1993, p.</w:t>
      </w:r>
      <w:r w:rsidR="00A12746" w:rsidRPr="001070A5">
        <w:rPr>
          <w:rFonts w:ascii="Arial" w:hAnsi="Arial" w:cs="Arial"/>
          <w:sz w:val="24"/>
          <w:szCs w:val="24"/>
          <w:lang w:val="en-GB"/>
        </w:rPr>
        <w:t> </w:t>
      </w:r>
      <w:r w:rsidRPr="001070A5">
        <w:rPr>
          <w:rFonts w:ascii="Arial" w:hAnsi="Arial" w:cs="Arial"/>
          <w:sz w:val="24"/>
          <w:szCs w:val="24"/>
          <w:lang w:val="en-GB"/>
        </w:rPr>
        <w:t xml:space="preserve">30; </w:t>
      </w:r>
      <w:r w:rsidRPr="001070A5">
        <w:rPr>
          <w:rFonts w:ascii="Arial" w:hAnsi="Arial" w:cs="Arial"/>
          <w:sz w:val="24"/>
          <w:szCs w:val="24"/>
          <w:lang w:val="en-US"/>
        </w:rPr>
        <w:t>A.-G.</w:t>
      </w:r>
      <w:r w:rsidR="00A12746" w:rsidRPr="001070A5">
        <w:rPr>
          <w:rFonts w:ascii="Arial" w:hAnsi="Arial" w:cs="Arial"/>
          <w:sz w:val="24"/>
          <w:szCs w:val="24"/>
          <w:lang w:val="en-CA"/>
        </w:rPr>
        <w:t> </w:t>
      </w:r>
      <w:r w:rsidRPr="001070A5">
        <w:rPr>
          <w:rFonts w:ascii="Arial" w:hAnsi="Arial" w:cs="Arial"/>
          <w:sz w:val="24"/>
          <w:szCs w:val="24"/>
          <w:lang w:val="en-US"/>
        </w:rPr>
        <w:t>White,</w:t>
      </w:r>
      <w:r w:rsidRPr="001070A5">
        <w:rPr>
          <w:rFonts w:ascii="Arial" w:hAnsi="Arial" w:cs="Arial"/>
          <w:sz w:val="24"/>
          <w:szCs w:val="24"/>
          <w:lang w:val="en-GB"/>
        </w:rPr>
        <w:t xml:space="preserve"> </w:t>
      </w:r>
      <w:r w:rsidRPr="001070A5">
        <w:rPr>
          <w:rFonts w:ascii="Arial" w:hAnsi="Arial" w:cs="Arial"/>
          <w:i/>
          <w:iCs/>
          <w:sz w:val="24"/>
          <w:szCs w:val="24"/>
          <w:lang w:val="en-GB"/>
        </w:rPr>
        <w:t>op. cit.,</w:t>
      </w:r>
      <w:r w:rsidRPr="001070A5">
        <w:rPr>
          <w:rFonts w:ascii="Arial" w:hAnsi="Arial" w:cs="Arial"/>
          <w:sz w:val="24"/>
          <w:szCs w:val="24"/>
          <w:lang w:val="en-GB"/>
        </w:rPr>
        <w:t xml:space="preserve"> p.</w:t>
      </w:r>
      <w:r w:rsidR="00A12746" w:rsidRPr="001070A5">
        <w:rPr>
          <w:rFonts w:ascii="Arial" w:hAnsi="Arial" w:cs="Arial"/>
          <w:sz w:val="24"/>
          <w:szCs w:val="24"/>
          <w:lang w:val="en-GB"/>
        </w:rPr>
        <w:t> </w:t>
      </w:r>
      <w:r w:rsidRPr="001070A5">
        <w:rPr>
          <w:rFonts w:ascii="Arial" w:hAnsi="Arial" w:cs="Arial"/>
          <w:sz w:val="24"/>
          <w:szCs w:val="24"/>
          <w:lang w:val="en-GB"/>
        </w:rPr>
        <w:t>532.</w:t>
      </w:r>
    </w:p>
  </w:footnote>
  <w:footnote w:id="7">
    <w:p w14:paraId="1390BEA1" w14:textId="53BCD869" w:rsidR="004F5898" w:rsidRPr="001070A5" w:rsidRDefault="004F5898" w:rsidP="004F79BD">
      <w:pPr>
        <w:pStyle w:val="FootnoteText"/>
        <w:ind w:left="0" w:firstLine="6"/>
        <w:jc w:val="left"/>
        <w:rPr>
          <w:rFonts w:ascii="Arial" w:hAnsi="Arial" w:cs="Arial"/>
          <w:sz w:val="24"/>
          <w:szCs w:val="24"/>
        </w:rPr>
      </w:pPr>
      <w:r w:rsidRPr="001070A5">
        <w:rPr>
          <w:rStyle w:val="FootnoteReference"/>
          <w:rFonts w:ascii="Arial" w:hAnsi="Arial" w:cs="Arial"/>
          <w:sz w:val="24"/>
          <w:szCs w:val="24"/>
        </w:rPr>
        <w:footnoteRef/>
      </w:r>
      <w:r w:rsidRPr="001070A5">
        <w:rPr>
          <w:rFonts w:ascii="Arial" w:hAnsi="Arial" w:cs="Arial"/>
          <w:sz w:val="24"/>
          <w:szCs w:val="24"/>
        </w:rPr>
        <w:t xml:space="preserve"> Voir à ce sujet H.</w:t>
      </w:r>
      <w:r w:rsidR="007C2DE9">
        <w:rPr>
          <w:rFonts w:ascii="Arial" w:hAnsi="Arial" w:cs="Arial"/>
          <w:sz w:val="24"/>
          <w:szCs w:val="24"/>
        </w:rPr>
        <w:t> </w:t>
      </w:r>
      <w:r w:rsidRPr="001070A5">
        <w:rPr>
          <w:rFonts w:ascii="Arial" w:hAnsi="Arial" w:cs="Arial"/>
          <w:sz w:val="24"/>
          <w:szCs w:val="24"/>
        </w:rPr>
        <w:t>MORADZADEH, thèse précitée, p</w:t>
      </w:r>
      <w:r w:rsidR="0081253B" w:rsidRPr="001070A5">
        <w:rPr>
          <w:rFonts w:ascii="Arial" w:hAnsi="Arial" w:cs="Arial"/>
          <w:sz w:val="24"/>
          <w:szCs w:val="24"/>
        </w:rPr>
        <w:t> </w:t>
      </w:r>
      <w:r w:rsidRPr="001070A5">
        <w:rPr>
          <w:rFonts w:ascii="Arial" w:hAnsi="Arial" w:cs="Arial"/>
          <w:sz w:val="24"/>
          <w:szCs w:val="24"/>
        </w:rPr>
        <w:t>8.</w:t>
      </w:r>
    </w:p>
  </w:footnote>
  <w:footnote w:id="8">
    <w:p w14:paraId="32EDE880" w14:textId="77777777" w:rsidR="004F5898" w:rsidRPr="001070A5" w:rsidRDefault="004F5898" w:rsidP="004F79BD">
      <w:pPr>
        <w:pStyle w:val="FootnoteText"/>
        <w:ind w:left="0" w:firstLine="6"/>
        <w:jc w:val="left"/>
        <w:rPr>
          <w:rFonts w:ascii="Arial" w:hAnsi="Arial" w:cs="Arial"/>
          <w:sz w:val="24"/>
          <w:szCs w:val="24"/>
        </w:rPr>
      </w:pPr>
      <w:r w:rsidRPr="001070A5">
        <w:rPr>
          <w:rStyle w:val="FootnoteReference"/>
          <w:rFonts w:ascii="Arial" w:hAnsi="Arial" w:cs="Arial"/>
          <w:sz w:val="24"/>
          <w:szCs w:val="24"/>
        </w:rPr>
        <w:footnoteRef/>
      </w:r>
      <w:r w:rsidRPr="001070A5">
        <w:rPr>
          <w:rFonts w:ascii="Arial" w:hAnsi="Arial" w:cs="Arial"/>
          <w:sz w:val="24"/>
          <w:szCs w:val="24"/>
        </w:rPr>
        <w:t xml:space="preserve"> Ibid.</w:t>
      </w:r>
    </w:p>
  </w:footnote>
  <w:footnote w:id="9">
    <w:p w14:paraId="6BFD5150" w14:textId="43557D23" w:rsidR="004F5898" w:rsidRPr="001070A5" w:rsidRDefault="004F5898" w:rsidP="004F79BD">
      <w:pPr>
        <w:spacing w:after="0"/>
        <w:ind w:firstLine="6"/>
        <w:rPr>
          <w:rFonts w:cs="Arial"/>
          <w:sz w:val="24"/>
          <w:szCs w:val="24"/>
        </w:rPr>
      </w:pPr>
      <w:r w:rsidRPr="001070A5">
        <w:rPr>
          <w:rStyle w:val="FootnoteReference"/>
          <w:rFonts w:cs="Arial"/>
          <w:sz w:val="24"/>
          <w:szCs w:val="24"/>
        </w:rPr>
        <w:footnoteRef/>
      </w:r>
      <w:r w:rsidRPr="001070A5">
        <w:rPr>
          <w:rFonts w:cs="Arial"/>
          <w:sz w:val="24"/>
          <w:szCs w:val="24"/>
        </w:rPr>
        <w:t xml:space="preserve"> Voir à ce sujet Iñaki Navarrete, «</w:t>
      </w:r>
      <w:r w:rsidR="0081253B" w:rsidRPr="001070A5">
        <w:rPr>
          <w:rFonts w:cs="Arial"/>
          <w:sz w:val="24"/>
          <w:szCs w:val="24"/>
        </w:rPr>
        <w:t> </w:t>
      </w:r>
      <w:r w:rsidRPr="001070A5">
        <w:rPr>
          <w:rFonts w:cs="Arial"/>
          <w:sz w:val="24"/>
          <w:szCs w:val="24"/>
        </w:rPr>
        <w:t>Démanteler les obstacles invalidants</w:t>
      </w:r>
      <w:r w:rsidR="00297CB5" w:rsidRPr="001070A5">
        <w:rPr>
          <w:rFonts w:cs="Arial"/>
          <w:sz w:val="24"/>
          <w:szCs w:val="24"/>
        </w:rPr>
        <w:t> </w:t>
      </w:r>
      <w:r w:rsidRPr="001070A5">
        <w:rPr>
          <w:rFonts w:cs="Arial"/>
          <w:sz w:val="24"/>
          <w:szCs w:val="24"/>
        </w:rPr>
        <w:t>: handicap mental et réparations</w:t>
      </w:r>
      <w:r w:rsidR="004F79BD" w:rsidRPr="001070A5">
        <w:rPr>
          <w:rFonts w:cs="Arial"/>
          <w:sz w:val="24"/>
          <w:szCs w:val="24"/>
        </w:rPr>
        <w:t xml:space="preserve"> </w:t>
      </w:r>
      <w:r w:rsidRPr="001070A5">
        <w:rPr>
          <w:rFonts w:cs="Arial"/>
          <w:sz w:val="24"/>
          <w:szCs w:val="24"/>
        </w:rPr>
        <w:t>habilitantes à la cour interaméricaine des droits de l’homme</w:t>
      </w:r>
      <w:r w:rsidR="0081253B" w:rsidRPr="001070A5">
        <w:rPr>
          <w:rFonts w:cs="Arial"/>
          <w:sz w:val="24"/>
          <w:szCs w:val="24"/>
        </w:rPr>
        <w:t> </w:t>
      </w:r>
      <w:r w:rsidRPr="001070A5">
        <w:rPr>
          <w:rFonts w:cs="Arial"/>
          <w:sz w:val="24"/>
          <w:szCs w:val="24"/>
        </w:rPr>
        <w:t>», 28</w:t>
      </w:r>
      <w:r w:rsidR="007C2DE9">
        <w:rPr>
          <w:rFonts w:cs="Arial"/>
          <w:sz w:val="24"/>
          <w:szCs w:val="24"/>
        </w:rPr>
        <w:t>.</w:t>
      </w:r>
      <w:r w:rsidRPr="001070A5">
        <w:rPr>
          <w:rFonts w:cs="Arial"/>
          <w:sz w:val="24"/>
          <w:szCs w:val="24"/>
        </w:rPr>
        <w:t xml:space="preserve">2 (2015) </w:t>
      </w:r>
      <w:r w:rsidRPr="001070A5">
        <w:rPr>
          <w:rFonts w:cs="Arial"/>
          <w:b/>
          <w:bCs/>
          <w:sz w:val="24"/>
          <w:szCs w:val="24"/>
        </w:rPr>
        <w:t>Revue québécoise de droit</w:t>
      </w:r>
      <w:r w:rsidR="004F79BD" w:rsidRPr="001070A5">
        <w:rPr>
          <w:rFonts w:cs="Arial"/>
          <w:b/>
          <w:bCs/>
          <w:sz w:val="24"/>
          <w:szCs w:val="24"/>
        </w:rPr>
        <w:t xml:space="preserve"> </w:t>
      </w:r>
      <w:r w:rsidRPr="001070A5">
        <w:rPr>
          <w:rFonts w:cs="Arial"/>
          <w:b/>
          <w:bCs/>
          <w:sz w:val="24"/>
          <w:szCs w:val="24"/>
        </w:rPr>
        <w:t>international</w:t>
      </w:r>
      <w:r w:rsidRPr="001070A5">
        <w:rPr>
          <w:rFonts w:cs="Arial"/>
          <w:i/>
          <w:iCs/>
          <w:sz w:val="24"/>
          <w:szCs w:val="24"/>
        </w:rPr>
        <w:t xml:space="preserve">, </w:t>
      </w:r>
      <w:r w:rsidRPr="001070A5">
        <w:rPr>
          <w:rFonts w:cs="Arial"/>
          <w:sz w:val="24"/>
          <w:szCs w:val="24"/>
        </w:rPr>
        <w:t>2015</w:t>
      </w:r>
      <w:r w:rsidR="0081253B" w:rsidRPr="001070A5">
        <w:rPr>
          <w:rFonts w:cs="Arial"/>
          <w:sz w:val="24"/>
          <w:szCs w:val="24"/>
        </w:rPr>
        <w:t> </w:t>
      </w:r>
      <w:r w:rsidRPr="001070A5">
        <w:rPr>
          <w:rFonts w:cs="Arial"/>
          <w:sz w:val="24"/>
          <w:szCs w:val="24"/>
        </w:rPr>
        <w:t>CanLIIDocs</w:t>
      </w:r>
      <w:r w:rsidR="0081253B" w:rsidRPr="001070A5">
        <w:rPr>
          <w:rFonts w:cs="Arial"/>
          <w:sz w:val="24"/>
          <w:szCs w:val="24"/>
        </w:rPr>
        <w:t> </w:t>
      </w:r>
      <w:r w:rsidRPr="001070A5">
        <w:rPr>
          <w:rFonts w:cs="Arial"/>
          <w:sz w:val="24"/>
          <w:szCs w:val="24"/>
        </w:rPr>
        <w:t>454.</w:t>
      </w:r>
    </w:p>
  </w:footnote>
  <w:footnote w:id="10">
    <w:p w14:paraId="4F7BB7E1" w14:textId="057811DB" w:rsidR="004F5898" w:rsidRPr="001070A5" w:rsidRDefault="004F5898" w:rsidP="004F79BD">
      <w:pPr>
        <w:pStyle w:val="PlainText"/>
        <w:ind w:firstLine="6"/>
        <w:rPr>
          <w:rFonts w:ascii="Arial" w:hAnsi="Arial" w:cs="Arial"/>
          <w:sz w:val="28"/>
          <w:szCs w:val="28"/>
          <w:lang w:val="en-US"/>
        </w:rPr>
      </w:pPr>
      <w:r w:rsidRPr="001070A5">
        <w:rPr>
          <w:rStyle w:val="FootnoteReference"/>
          <w:rFonts w:ascii="Arial" w:hAnsi="Arial" w:cs="Arial"/>
          <w:sz w:val="24"/>
          <w:szCs w:val="24"/>
        </w:rPr>
        <w:footnoteRef/>
      </w:r>
      <w:r w:rsidRPr="001070A5">
        <w:rPr>
          <w:rFonts w:ascii="Arial" w:hAnsi="Arial" w:cs="Arial"/>
          <w:sz w:val="24"/>
          <w:szCs w:val="24"/>
          <w:lang w:val="en-GB"/>
        </w:rPr>
        <w:t xml:space="preserve"> V. </w:t>
      </w:r>
      <w:r w:rsidRPr="001070A5">
        <w:rPr>
          <w:rFonts w:ascii="Arial" w:hAnsi="Arial" w:cs="Arial"/>
          <w:sz w:val="24"/>
          <w:szCs w:val="24"/>
          <w:lang w:val="en-US"/>
        </w:rPr>
        <w:t xml:space="preserve">A.-A. Milani, </w:t>
      </w:r>
      <w:r w:rsidRPr="001070A5">
        <w:rPr>
          <w:rFonts w:ascii="Arial" w:hAnsi="Arial" w:cs="Arial"/>
          <w:b/>
          <w:bCs/>
          <w:sz w:val="24"/>
          <w:szCs w:val="24"/>
          <w:lang w:val="en-US"/>
        </w:rPr>
        <w:t>Living in the world: a new look at the disabled in the law of torts</w:t>
      </w:r>
      <w:r w:rsidRPr="001070A5">
        <w:rPr>
          <w:rFonts w:ascii="Arial" w:hAnsi="Arial" w:cs="Arial"/>
          <w:sz w:val="24"/>
          <w:szCs w:val="24"/>
          <w:lang w:val="en-US"/>
        </w:rPr>
        <w:t>,</w:t>
      </w:r>
      <w:r w:rsidR="004F79BD" w:rsidRPr="001070A5">
        <w:rPr>
          <w:rFonts w:ascii="Arial" w:hAnsi="Arial" w:cs="Arial"/>
          <w:sz w:val="24"/>
          <w:szCs w:val="24"/>
          <w:lang w:val="en-CA"/>
        </w:rPr>
        <w:t xml:space="preserve"> </w:t>
      </w:r>
      <w:r w:rsidRPr="001070A5">
        <w:rPr>
          <w:rFonts w:ascii="Arial" w:hAnsi="Arial" w:cs="Arial"/>
          <w:sz w:val="24"/>
          <w:szCs w:val="24"/>
          <w:lang w:val="en-US"/>
        </w:rPr>
        <w:t>Cath. U. L. Rev.</w:t>
      </w:r>
      <w:r w:rsidR="00A12746" w:rsidRPr="001070A5">
        <w:rPr>
          <w:rFonts w:ascii="Arial" w:hAnsi="Arial" w:cs="Arial"/>
          <w:sz w:val="24"/>
          <w:szCs w:val="24"/>
          <w:lang w:val="en-US"/>
        </w:rPr>
        <w:t> </w:t>
      </w:r>
      <w:r w:rsidRPr="001070A5">
        <w:rPr>
          <w:rFonts w:ascii="Arial" w:hAnsi="Arial" w:cs="Arial"/>
          <w:sz w:val="24"/>
          <w:szCs w:val="24"/>
          <w:lang w:val="en-US"/>
        </w:rPr>
        <w:t>Winter, 1999, p.</w:t>
      </w:r>
      <w:r w:rsidR="00A12746" w:rsidRPr="001070A5">
        <w:rPr>
          <w:rFonts w:ascii="Arial" w:hAnsi="Arial" w:cs="Arial"/>
          <w:sz w:val="24"/>
          <w:szCs w:val="24"/>
          <w:lang w:val="en-US"/>
        </w:rPr>
        <w:t> </w:t>
      </w:r>
      <w:r w:rsidRPr="001070A5">
        <w:rPr>
          <w:rFonts w:ascii="Arial" w:hAnsi="Arial" w:cs="Arial"/>
          <w:sz w:val="24"/>
          <w:szCs w:val="24"/>
          <w:lang w:val="en-US"/>
        </w:rPr>
        <w:t xml:space="preserve">329; J. Tenbroek, </w:t>
      </w:r>
      <w:r w:rsidRPr="001070A5">
        <w:rPr>
          <w:rFonts w:ascii="Arial" w:hAnsi="Arial" w:cs="Arial"/>
          <w:b/>
          <w:bCs/>
          <w:sz w:val="24"/>
          <w:szCs w:val="24"/>
          <w:lang w:val="en-US"/>
        </w:rPr>
        <w:t>The Right to Live in the World:</w:t>
      </w:r>
      <w:r w:rsidR="004F79BD" w:rsidRPr="001070A5">
        <w:rPr>
          <w:rFonts w:ascii="Arial" w:hAnsi="Arial" w:cs="Arial"/>
          <w:b/>
          <w:bCs/>
          <w:sz w:val="24"/>
          <w:szCs w:val="24"/>
          <w:lang w:val="en-CA"/>
        </w:rPr>
        <w:t xml:space="preserve"> </w:t>
      </w:r>
      <w:r w:rsidRPr="001070A5">
        <w:rPr>
          <w:rFonts w:ascii="Arial" w:hAnsi="Arial" w:cs="Arial"/>
          <w:b/>
          <w:bCs/>
          <w:sz w:val="24"/>
          <w:szCs w:val="24"/>
          <w:lang w:val="en-US"/>
        </w:rPr>
        <w:t>The Disabled in the Law of Torts</w:t>
      </w:r>
      <w:r w:rsidRPr="001070A5">
        <w:rPr>
          <w:rFonts w:ascii="Arial" w:hAnsi="Arial" w:cs="Arial"/>
          <w:sz w:val="24"/>
          <w:szCs w:val="24"/>
          <w:lang w:val="en-US"/>
        </w:rPr>
        <w:t>, 54 Cal. L. Rev., 1966, p.</w:t>
      </w:r>
      <w:r w:rsidR="00A12746" w:rsidRPr="001070A5">
        <w:rPr>
          <w:rFonts w:ascii="Arial" w:hAnsi="Arial" w:cs="Arial"/>
          <w:sz w:val="24"/>
          <w:szCs w:val="24"/>
          <w:lang w:val="en-US"/>
        </w:rPr>
        <w:t> </w:t>
      </w:r>
      <w:r w:rsidRPr="001070A5">
        <w:rPr>
          <w:rFonts w:ascii="Arial" w:hAnsi="Arial" w:cs="Arial"/>
          <w:sz w:val="24"/>
          <w:szCs w:val="24"/>
          <w:lang w:val="en-US"/>
        </w:rPr>
        <w:t>842.</w:t>
      </w:r>
    </w:p>
  </w:footnote>
  <w:footnote w:id="11">
    <w:p w14:paraId="584A2048" w14:textId="59140CDE" w:rsidR="004F5898" w:rsidRPr="001070A5" w:rsidRDefault="004F5898" w:rsidP="004F79BD">
      <w:pPr>
        <w:pStyle w:val="FootnoteText"/>
        <w:ind w:left="0" w:firstLine="6"/>
        <w:jc w:val="left"/>
        <w:rPr>
          <w:rFonts w:ascii="Arial" w:hAnsi="Arial" w:cs="Arial"/>
          <w:sz w:val="24"/>
          <w:szCs w:val="24"/>
          <w:lang w:val="nl-NL"/>
        </w:rPr>
      </w:pPr>
      <w:r w:rsidRPr="001070A5">
        <w:rPr>
          <w:rStyle w:val="FootnoteReference"/>
          <w:rFonts w:ascii="Arial" w:hAnsi="Arial" w:cs="Arial"/>
          <w:sz w:val="24"/>
          <w:szCs w:val="24"/>
        </w:rPr>
        <w:footnoteRef/>
      </w:r>
      <w:r w:rsidRPr="001070A5">
        <w:rPr>
          <w:rFonts w:ascii="Arial" w:hAnsi="Arial" w:cs="Arial"/>
          <w:sz w:val="24"/>
          <w:szCs w:val="24"/>
          <w:lang w:val="nl-NL"/>
        </w:rPr>
        <w:t xml:space="preserve"> V. A. A. Milani, </w:t>
      </w:r>
      <w:r w:rsidRPr="001070A5">
        <w:rPr>
          <w:rFonts w:ascii="Arial" w:hAnsi="Arial" w:cs="Arial"/>
          <w:b/>
          <w:bCs/>
          <w:sz w:val="24"/>
          <w:szCs w:val="24"/>
          <w:lang w:val="nl-NL"/>
        </w:rPr>
        <w:t>op. cit.,</w:t>
      </w:r>
      <w:r w:rsidRPr="001070A5">
        <w:rPr>
          <w:rFonts w:ascii="Arial" w:hAnsi="Arial" w:cs="Arial"/>
          <w:sz w:val="24"/>
          <w:szCs w:val="24"/>
          <w:lang w:val="nl-NL"/>
        </w:rPr>
        <w:t xml:space="preserve"> p.</w:t>
      </w:r>
      <w:r w:rsidR="00A12746" w:rsidRPr="001070A5">
        <w:rPr>
          <w:rFonts w:ascii="Arial" w:hAnsi="Arial" w:cs="Arial"/>
          <w:sz w:val="24"/>
          <w:szCs w:val="24"/>
          <w:lang w:val="nl-NL"/>
        </w:rPr>
        <w:t> </w:t>
      </w:r>
      <w:r w:rsidRPr="001070A5">
        <w:rPr>
          <w:rFonts w:ascii="Arial" w:hAnsi="Arial" w:cs="Arial"/>
          <w:sz w:val="24"/>
          <w:szCs w:val="24"/>
          <w:lang w:val="nl-NL"/>
        </w:rPr>
        <w:t>332.</w:t>
      </w:r>
    </w:p>
  </w:footnote>
  <w:footnote w:id="12">
    <w:p w14:paraId="2EC5596D" w14:textId="266A1A08" w:rsidR="004F5898" w:rsidRPr="001070A5" w:rsidRDefault="004F5898" w:rsidP="00855E21">
      <w:pPr>
        <w:pStyle w:val="FootnoteText"/>
        <w:ind w:left="0" w:firstLine="6"/>
        <w:jc w:val="left"/>
        <w:rPr>
          <w:rFonts w:ascii="Arial" w:hAnsi="Arial" w:cs="Arial"/>
          <w:i/>
          <w:iCs/>
          <w:sz w:val="24"/>
          <w:szCs w:val="24"/>
          <w:lang w:val="en-GB"/>
        </w:rPr>
      </w:pPr>
      <w:r w:rsidRPr="001070A5">
        <w:rPr>
          <w:rStyle w:val="FootnoteReference"/>
          <w:rFonts w:ascii="Arial" w:hAnsi="Arial" w:cs="Arial"/>
          <w:sz w:val="24"/>
          <w:szCs w:val="24"/>
        </w:rPr>
        <w:footnoteRef/>
      </w:r>
      <w:r w:rsidRPr="001070A5">
        <w:rPr>
          <w:rFonts w:ascii="Arial" w:hAnsi="Arial" w:cs="Arial"/>
          <w:sz w:val="24"/>
          <w:szCs w:val="24"/>
          <w:lang w:val="en-GB"/>
        </w:rPr>
        <w:t xml:space="preserve"> Americans with disabilities Act of 1990 U.S.C. section</w:t>
      </w:r>
      <w:r w:rsidR="00A12746" w:rsidRPr="001070A5">
        <w:rPr>
          <w:rFonts w:ascii="Arial" w:hAnsi="Arial" w:cs="Arial"/>
          <w:sz w:val="24"/>
          <w:szCs w:val="24"/>
          <w:lang w:val="en-GB"/>
        </w:rPr>
        <w:t> </w:t>
      </w:r>
      <w:r w:rsidRPr="001070A5">
        <w:rPr>
          <w:rFonts w:ascii="Arial" w:hAnsi="Arial" w:cs="Arial"/>
          <w:sz w:val="24"/>
          <w:szCs w:val="24"/>
          <w:lang w:val="en-GB"/>
        </w:rPr>
        <w:t>12101.</w:t>
      </w:r>
    </w:p>
  </w:footnote>
  <w:footnote w:id="13">
    <w:p w14:paraId="64047A52" w14:textId="1FA509EF" w:rsidR="004F5898" w:rsidRPr="001070A5" w:rsidRDefault="004F5898" w:rsidP="00855E21">
      <w:pPr>
        <w:pStyle w:val="FootnoteText"/>
        <w:ind w:left="0" w:firstLine="6"/>
        <w:jc w:val="left"/>
        <w:rPr>
          <w:rFonts w:ascii="Arial" w:hAnsi="Arial" w:cs="Arial"/>
          <w:sz w:val="24"/>
          <w:szCs w:val="24"/>
        </w:rPr>
      </w:pPr>
      <w:r w:rsidRPr="001070A5">
        <w:rPr>
          <w:rStyle w:val="FootnoteReference"/>
          <w:rFonts w:ascii="Arial" w:hAnsi="Arial" w:cs="Arial"/>
          <w:sz w:val="24"/>
          <w:szCs w:val="24"/>
        </w:rPr>
        <w:footnoteRef/>
      </w:r>
      <w:r w:rsidRPr="001070A5">
        <w:rPr>
          <w:rFonts w:ascii="Arial" w:hAnsi="Arial" w:cs="Arial"/>
          <w:sz w:val="24"/>
          <w:szCs w:val="24"/>
        </w:rPr>
        <w:t xml:space="preserve"> Loi n°</w:t>
      </w:r>
      <w:r w:rsidR="0081253B" w:rsidRPr="001070A5">
        <w:rPr>
          <w:rFonts w:ascii="Arial" w:hAnsi="Arial" w:cs="Arial"/>
          <w:sz w:val="24"/>
          <w:szCs w:val="24"/>
        </w:rPr>
        <w:t> </w:t>
      </w:r>
      <w:r w:rsidRPr="001070A5">
        <w:rPr>
          <w:rFonts w:ascii="Arial" w:hAnsi="Arial" w:cs="Arial"/>
          <w:sz w:val="24"/>
          <w:szCs w:val="24"/>
        </w:rPr>
        <w:t>2005-102 du 11</w:t>
      </w:r>
      <w:r w:rsidR="0081253B" w:rsidRPr="001070A5">
        <w:rPr>
          <w:rFonts w:ascii="Arial" w:hAnsi="Arial" w:cs="Arial"/>
          <w:sz w:val="24"/>
          <w:szCs w:val="24"/>
        </w:rPr>
        <w:t> </w:t>
      </w:r>
      <w:r w:rsidRPr="001070A5">
        <w:rPr>
          <w:rFonts w:ascii="Arial" w:hAnsi="Arial" w:cs="Arial"/>
          <w:sz w:val="24"/>
          <w:szCs w:val="24"/>
        </w:rPr>
        <w:t>février 2005 «</w:t>
      </w:r>
      <w:r w:rsidR="0081253B" w:rsidRPr="001070A5">
        <w:rPr>
          <w:rFonts w:ascii="Arial" w:hAnsi="Arial" w:cs="Arial"/>
          <w:sz w:val="24"/>
          <w:szCs w:val="24"/>
        </w:rPr>
        <w:t> </w:t>
      </w:r>
      <w:r w:rsidRPr="001070A5">
        <w:rPr>
          <w:rFonts w:ascii="Arial" w:hAnsi="Arial" w:cs="Arial"/>
          <w:sz w:val="24"/>
          <w:szCs w:val="24"/>
        </w:rPr>
        <w:t>pour l</w:t>
      </w:r>
      <w:r w:rsidR="00A90E9D" w:rsidRPr="001070A5">
        <w:rPr>
          <w:rFonts w:ascii="Arial" w:hAnsi="Arial" w:cs="Arial"/>
          <w:sz w:val="24"/>
          <w:szCs w:val="24"/>
        </w:rPr>
        <w:t>’</w:t>
      </w:r>
      <w:r w:rsidRPr="001070A5">
        <w:rPr>
          <w:rFonts w:ascii="Arial" w:hAnsi="Arial" w:cs="Arial"/>
          <w:sz w:val="24"/>
          <w:szCs w:val="24"/>
        </w:rPr>
        <w:t>égalité des droits et des chances, la participation et la</w:t>
      </w:r>
      <w:r w:rsidR="00855E21" w:rsidRPr="001070A5">
        <w:rPr>
          <w:rFonts w:ascii="Arial" w:hAnsi="Arial" w:cs="Arial"/>
          <w:sz w:val="24"/>
          <w:szCs w:val="24"/>
        </w:rPr>
        <w:t xml:space="preserve"> </w:t>
      </w:r>
      <w:r w:rsidRPr="001070A5">
        <w:rPr>
          <w:rFonts w:ascii="Arial" w:hAnsi="Arial" w:cs="Arial"/>
          <w:sz w:val="24"/>
          <w:szCs w:val="24"/>
        </w:rPr>
        <w:t>citoyenneté des personnes handicapées</w:t>
      </w:r>
      <w:r w:rsidR="0081253B" w:rsidRPr="001070A5">
        <w:rPr>
          <w:rFonts w:ascii="Arial" w:hAnsi="Arial" w:cs="Arial"/>
          <w:sz w:val="24"/>
          <w:szCs w:val="24"/>
        </w:rPr>
        <w:t> </w:t>
      </w:r>
      <w:r w:rsidRPr="001070A5">
        <w:rPr>
          <w:rFonts w:ascii="Arial" w:hAnsi="Arial" w:cs="Arial"/>
          <w:sz w:val="24"/>
          <w:szCs w:val="24"/>
        </w:rPr>
        <w:t>».</w:t>
      </w:r>
    </w:p>
  </w:footnote>
  <w:footnote w:id="14">
    <w:p w14:paraId="1AD57FD2" w14:textId="450B58AB" w:rsidR="004F5898" w:rsidRPr="0015232D" w:rsidRDefault="004F5898" w:rsidP="00855E21">
      <w:pPr>
        <w:pStyle w:val="FootnoteText"/>
        <w:ind w:left="0" w:firstLine="6"/>
        <w:jc w:val="left"/>
        <w:rPr>
          <w:rFonts w:ascii="Verdana" w:hAnsi="Verdana"/>
        </w:rPr>
      </w:pPr>
      <w:r w:rsidRPr="001070A5">
        <w:rPr>
          <w:rStyle w:val="FootnoteReference"/>
          <w:rFonts w:ascii="Arial" w:hAnsi="Arial" w:cs="Arial"/>
          <w:sz w:val="24"/>
          <w:szCs w:val="24"/>
        </w:rPr>
        <w:footnoteRef/>
      </w:r>
      <w:r w:rsidRPr="001070A5">
        <w:rPr>
          <w:rFonts w:ascii="Arial" w:hAnsi="Arial" w:cs="Arial"/>
          <w:sz w:val="24"/>
          <w:szCs w:val="24"/>
        </w:rPr>
        <w:t xml:space="preserve"> Convention a été adoptée par l’assemblé générale des </w:t>
      </w:r>
      <w:r w:rsidR="00D30BAD" w:rsidRPr="001070A5">
        <w:rPr>
          <w:rFonts w:ascii="Arial" w:hAnsi="Arial" w:cs="Arial"/>
          <w:sz w:val="24"/>
          <w:szCs w:val="24"/>
        </w:rPr>
        <w:t>N</w:t>
      </w:r>
      <w:r w:rsidRPr="001070A5">
        <w:rPr>
          <w:rFonts w:ascii="Arial" w:hAnsi="Arial" w:cs="Arial"/>
          <w:sz w:val="24"/>
          <w:szCs w:val="24"/>
        </w:rPr>
        <w:t>ations uni</w:t>
      </w:r>
      <w:r w:rsidR="00D30BAD" w:rsidRPr="001070A5">
        <w:rPr>
          <w:rFonts w:ascii="Arial" w:hAnsi="Arial" w:cs="Arial"/>
          <w:sz w:val="24"/>
          <w:szCs w:val="24"/>
        </w:rPr>
        <w:t>e</w:t>
      </w:r>
      <w:r w:rsidRPr="001070A5">
        <w:rPr>
          <w:rFonts w:ascii="Arial" w:hAnsi="Arial" w:cs="Arial"/>
          <w:sz w:val="24"/>
          <w:szCs w:val="24"/>
        </w:rPr>
        <w:t>s le 13</w:t>
      </w:r>
      <w:r w:rsidR="0081253B" w:rsidRPr="001070A5">
        <w:rPr>
          <w:rFonts w:ascii="Arial" w:hAnsi="Arial" w:cs="Arial"/>
          <w:sz w:val="24"/>
          <w:szCs w:val="24"/>
        </w:rPr>
        <w:t> </w:t>
      </w:r>
      <w:r w:rsidRPr="001070A5">
        <w:rPr>
          <w:rFonts w:ascii="Arial" w:hAnsi="Arial" w:cs="Arial"/>
          <w:sz w:val="24"/>
          <w:szCs w:val="24"/>
        </w:rPr>
        <w:t>décembre 2006,</w:t>
      </w:r>
      <w:r w:rsidR="00855E21" w:rsidRPr="001070A5">
        <w:rPr>
          <w:rFonts w:ascii="Arial" w:hAnsi="Arial" w:cs="Arial"/>
          <w:sz w:val="24"/>
          <w:szCs w:val="24"/>
        </w:rPr>
        <w:t xml:space="preserve"> ratifiée par le Canada le 11</w:t>
      </w:r>
      <w:r w:rsidR="0081253B" w:rsidRPr="001070A5">
        <w:rPr>
          <w:rFonts w:ascii="Arial" w:hAnsi="Arial" w:cs="Arial"/>
          <w:sz w:val="24"/>
          <w:szCs w:val="24"/>
        </w:rPr>
        <w:t> </w:t>
      </w:r>
      <w:r w:rsidR="00855E21" w:rsidRPr="001070A5">
        <w:rPr>
          <w:rFonts w:ascii="Arial" w:hAnsi="Arial" w:cs="Arial"/>
          <w:sz w:val="24"/>
          <w:szCs w:val="24"/>
        </w:rPr>
        <w:t>mars 2010 et par le Québec le 10</w:t>
      </w:r>
      <w:r w:rsidR="0081253B" w:rsidRPr="001070A5">
        <w:rPr>
          <w:rFonts w:ascii="Arial" w:hAnsi="Arial" w:cs="Arial"/>
          <w:sz w:val="24"/>
          <w:szCs w:val="24"/>
        </w:rPr>
        <w:t> </w:t>
      </w:r>
      <w:r w:rsidR="00855E21" w:rsidRPr="001070A5">
        <w:rPr>
          <w:rFonts w:ascii="Arial" w:hAnsi="Arial" w:cs="Arial"/>
          <w:sz w:val="24"/>
          <w:szCs w:val="24"/>
        </w:rPr>
        <w:t>mars 20</w:t>
      </w:r>
      <w:r w:rsidR="00685B70" w:rsidRPr="001070A5">
        <w:rPr>
          <w:rFonts w:ascii="Arial" w:hAnsi="Arial" w:cs="Arial"/>
          <w:sz w:val="24"/>
          <w:szCs w:val="24"/>
        </w:rPr>
        <w:t>10.</w:t>
      </w:r>
      <w:r w:rsidRPr="001070A5">
        <w:rPr>
          <w:rFonts w:ascii="Arial" w:hAnsi="Arial" w:cs="Arial"/>
          <w:color w:val="212529"/>
          <w:sz w:val="24"/>
          <w:szCs w:val="24"/>
          <w:shd w:val="clear" w:color="auto" w:fill="F5F5F5"/>
        </w:rPr>
        <w:t xml:space="preserve"> </w:t>
      </w:r>
      <w:r w:rsidRPr="001070A5">
        <w:rPr>
          <w:rFonts w:ascii="Arial" w:hAnsi="Arial" w:cs="Arial"/>
          <w:sz w:val="24"/>
          <w:szCs w:val="24"/>
        </w:rPr>
        <w:t xml:space="preserve">Pour des commentaires relatifs à cette convention, V. A. Boujeka, </w:t>
      </w:r>
      <w:r w:rsidRPr="001070A5">
        <w:rPr>
          <w:rFonts w:ascii="Arial" w:hAnsi="Arial" w:cs="Arial"/>
          <w:b/>
          <w:bCs/>
          <w:sz w:val="24"/>
          <w:szCs w:val="24"/>
        </w:rPr>
        <w:t xml:space="preserve">La convention des Nations unies relative aux droits des personnes handicapées et son protocole facultatif, </w:t>
      </w:r>
      <w:r w:rsidRPr="001070A5">
        <w:rPr>
          <w:rFonts w:ascii="Arial" w:hAnsi="Arial" w:cs="Arial"/>
          <w:sz w:val="24"/>
          <w:szCs w:val="24"/>
        </w:rPr>
        <w:t>RDSS sept-oct. 2007, n°</w:t>
      </w:r>
      <w:r w:rsidR="0081253B" w:rsidRPr="001070A5">
        <w:rPr>
          <w:rFonts w:ascii="Arial" w:hAnsi="Arial" w:cs="Arial"/>
          <w:sz w:val="24"/>
          <w:szCs w:val="24"/>
        </w:rPr>
        <w:t> </w:t>
      </w:r>
      <w:r w:rsidRPr="001070A5">
        <w:rPr>
          <w:rFonts w:ascii="Arial" w:hAnsi="Arial" w:cs="Arial"/>
          <w:sz w:val="24"/>
          <w:szCs w:val="24"/>
        </w:rPr>
        <w:t>5, p.</w:t>
      </w:r>
      <w:r w:rsidR="0081253B" w:rsidRPr="001070A5">
        <w:rPr>
          <w:rFonts w:ascii="Arial" w:hAnsi="Arial" w:cs="Arial"/>
          <w:sz w:val="24"/>
          <w:szCs w:val="24"/>
        </w:rPr>
        <w:t> </w:t>
      </w:r>
      <w:r w:rsidRPr="001070A5">
        <w:rPr>
          <w:rFonts w:ascii="Arial" w:hAnsi="Arial" w:cs="Arial"/>
          <w:sz w:val="24"/>
          <w:szCs w:val="24"/>
        </w:rPr>
        <w:t>799.</w:t>
      </w:r>
    </w:p>
  </w:footnote>
  <w:footnote w:id="15">
    <w:p w14:paraId="0B956193" w14:textId="554D98EF" w:rsidR="004F5898" w:rsidRPr="00875F78" w:rsidRDefault="004F5898" w:rsidP="00855E21">
      <w:pPr>
        <w:pStyle w:val="FootnoteText"/>
        <w:ind w:left="0" w:firstLine="0"/>
        <w:jc w:val="left"/>
        <w:rPr>
          <w:rFonts w:ascii="Arial" w:hAnsi="Arial" w:cs="Arial"/>
          <w:sz w:val="24"/>
          <w:szCs w:val="24"/>
        </w:rPr>
      </w:pPr>
      <w:r w:rsidRPr="00875F78">
        <w:rPr>
          <w:rStyle w:val="FootnoteReference"/>
          <w:rFonts w:ascii="Arial" w:hAnsi="Arial" w:cs="Arial"/>
          <w:sz w:val="24"/>
          <w:szCs w:val="24"/>
        </w:rPr>
        <w:footnoteRef/>
      </w:r>
      <w:r w:rsidRPr="00875F78">
        <w:rPr>
          <w:rFonts w:ascii="Arial" w:hAnsi="Arial" w:cs="Arial"/>
          <w:sz w:val="24"/>
          <w:szCs w:val="24"/>
        </w:rPr>
        <w:t xml:space="preserve"> D. LAMY, </w:t>
      </w:r>
      <w:r w:rsidRPr="00875F78">
        <w:rPr>
          <w:rFonts w:ascii="Arial" w:hAnsi="Arial" w:cs="Arial"/>
          <w:b/>
          <w:bCs/>
          <w:sz w:val="24"/>
          <w:szCs w:val="24"/>
        </w:rPr>
        <w:t xml:space="preserve">Le bail résidentiel, la Charte québécoise et les dommages exemplaires, </w:t>
      </w:r>
      <w:r w:rsidRPr="00875F78">
        <w:rPr>
          <w:rFonts w:ascii="Arial" w:hAnsi="Arial" w:cs="Arial"/>
          <w:sz w:val="24"/>
          <w:szCs w:val="24"/>
        </w:rPr>
        <w:t>Wilson &amp; Lafleur</w:t>
      </w:r>
      <w:r w:rsidRPr="00875F78">
        <w:rPr>
          <w:rFonts w:ascii="Arial" w:hAnsi="Arial" w:cs="Arial"/>
          <w:b/>
          <w:bCs/>
          <w:sz w:val="24"/>
          <w:szCs w:val="24"/>
        </w:rPr>
        <w:t xml:space="preserve"> </w:t>
      </w:r>
      <w:r w:rsidRPr="00875F78">
        <w:rPr>
          <w:rFonts w:ascii="Arial" w:hAnsi="Arial" w:cs="Arial"/>
          <w:sz w:val="24"/>
          <w:szCs w:val="24"/>
        </w:rPr>
        <w:t>(2008),</w:t>
      </w:r>
      <w:r w:rsidR="00855E21" w:rsidRPr="00875F78">
        <w:rPr>
          <w:rFonts w:ascii="Arial" w:hAnsi="Arial" w:cs="Arial"/>
          <w:sz w:val="24"/>
          <w:szCs w:val="24"/>
        </w:rPr>
        <w:t xml:space="preserve"> </w:t>
      </w:r>
      <w:r w:rsidRPr="00875F78">
        <w:rPr>
          <w:rFonts w:ascii="Arial" w:hAnsi="Arial" w:cs="Arial"/>
          <w:sz w:val="24"/>
          <w:szCs w:val="24"/>
        </w:rPr>
        <w:t>p 302.</w:t>
      </w:r>
    </w:p>
  </w:footnote>
  <w:footnote w:id="16">
    <w:p w14:paraId="7CCD0669" w14:textId="59F084F6" w:rsidR="004F5898" w:rsidRPr="00C51CD7" w:rsidRDefault="004F5898" w:rsidP="00855E21">
      <w:pPr>
        <w:pStyle w:val="FootnoteText"/>
        <w:ind w:left="0" w:firstLine="0"/>
        <w:jc w:val="left"/>
        <w:rPr>
          <w:rFonts w:ascii="Stag Sans Book" w:hAnsi="Stag Sans Book"/>
        </w:rPr>
      </w:pPr>
      <w:r w:rsidRPr="00875F78">
        <w:rPr>
          <w:rStyle w:val="FootnoteReference"/>
          <w:rFonts w:ascii="Arial" w:hAnsi="Arial" w:cs="Arial"/>
          <w:sz w:val="24"/>
          <w:szCs w:val="24"/>
        </w:rPr>
        <w:footnoteRef/>
      </w:r>
      <w:r w:rsidRPr="00875F78">
        <w:rPr>
          <w:rFonts w:ascii="Arial" w:hAnsi="Arial" w:cs="Arial"/>
          <w:sz w:val="24"/>
          <w:szCs w:val="24"/>
        </w:rPr>
        <w:t xml:space="preserve"> </w:t>
      </w:r>
      <w:r w:rsidRPr="00875F78">
        <w:rPr>
          <w:rFonts w:ascii="Arial" w:hAnsi="Arial" w:cs="Arial"/>
          <w:sz w:val="24"/>
          <w:szCs w:val="24"/>
          <w:shd w:val="clear" w:color="auto" w:fill="FFFFFF"/>
        </w:rPr>
        <w:t xml:space="preserve">D. PROULX, </w:t>
      </w:r>
      <w:r w:rsidRPr="00875F78">
        <w:rPr>
          <w:rFonts w:ascii="Arial" w:hAnsi="Arial" w:cs="Arial"/>
          <w:spacing w:val="24"/>
          <w:sz w:val="24"/>
          <w:szCs w:val="24"/>
          <w:bdr w:val="none" w:sz="0" w:space="0" w:color="auto" w:frame="1"/>
          <w:shd w:val="clear" w:color="auto" w:fill="FFFFFF"/>
        </w:rPr>
        <w:t>«</w:t>
      </w:r>
      <w:r w:rsidR="0081253B" w:rsidRPr="00875F78">
        <w:rPr>
          <w:rFonts w:ascii="Arial" w:hAnsi="Arial" w:cs="Arial"/>
          <w:spacing w:val="24"/>
          <w:sz w:val="24"/>
          <w:szCs w:val="24"/>
          <w:bdr w:val="none" w:sz="0" w:space="0" w:color="auto" w:frame="1"/>
          <w:shd w:val="clear" w:color="auto" w:fill="FFFFFF"/>
        </w:rPr>
        <w:t> </w:t>
      </w:r>
      <w:r w:rsidRPr="00875F78">
        <w:rPr>
          <w:rFonts w:ascii="Arial" w:hAnsi="Arial" w:cs="Arial"/>
          <w:sz w:val="24"/>
          <w:szCs w:val="24"/>
          <w:shd w:val="clear" w:color="auto" w:fill="FFFFFF"/>
        </w:rPr>
        <w:t>La discrimination fondée sur le handica</w:t>
      </w:r>
      <w:r w:rsidRPr="00875F78">
        <w:rPr>
          <w:rFonts w:ascii="Arial" w:hAnsi="Arial" w:cs="Arial"/>
          <w:spacing w:val="24"/>
          <w:sz w:val="24"/>
          <w:szCs w:val="24"/>
          <w:bdr w:val="none" w:sz="0" w:space="0" w:color="auto" w:frame="1"/>
          <w:shd w:val="clear" w:color="auto" w:fill="FFFFFF"/>
        </w:rPr>
        <w:t>p</w:t>
      </w:r>
      <w:r w:rsidR="00297CB5" w:rsidRPr="00875F78">
        <w:rPr>
          <w:rFonts w:ascii="Arial" w:hAnsi="Arial" w:cs="Arial"/>
          <w:spacing w:val="24"/>
          <w:sz w:val="24"/>
          <w:szCs w:val="24"/>
          <w:bdr w:val="none" w:sz="0" w:space="0" w:color="auto" w:frame="1"/>
          <w:shd w:val="clear" w:color="auto" w:fill="FFFFFF"/>
        </w:rPr>
        <w:t> </w:t>
      </w:r>
      <w:r w:rsidRPr="00875F78">
        <w:rPr>
          <w:rFonts w:ascii="Arial" w:hAnsi="Arial" w:cs="Arial"/>
          <w:sz w:val="24"/>
          <w:szCs w:val="24"/>
          <w:shd w:val="clear" w:color="auto" w:fill="FFFFFF"/>
        </w:rPr>
        <w:t>: étude comparée de la Charte </w:t>
      </w:r>
      <w:hyperlink r:id="rId2" w:history="1">
        <w:r w:rsidRPr="00875F78">
          <w:rPr>
            <w:rStyle w:val="Hyperlink"/>
            <w:rFonts w:ascii="Arial" w:hAnsi="Arial" w:cs="Arial"/>
            <w:color w:val="auto"/>
            <w:sz w:val="24"/>
            <w:szCs w:val="24"/>
            <w:u w:val="none"/>
            <w:bdr w:val="none" w:sz="0" w:space="0" w:color="auto" w:frame="1"/>
            <w:shd w:val="clear" w:color="auto" w:fill="FFFFFF"/>
          </w:rPr>
          <w:t>québécois</w:t>
        </w:r>
        <w:r w:rsidRPr="00875F78">
          <w:rPr>
            <w:rStyle w:val="Hyperlink"/>
            <w:rFonts w:ascii="Arial" w:hAnsi="Arial" w:cs="Arial"/>
            <w:color w:val="auto"/>
            <w:spacing w:val="24"/>
            <w:sz w:val="24"/>
            <w:szCs w:val="24"/>
            <w:u w:val="none"/>
            <w:bdr w:val="none" w:sz="0" w:space="0" w:color="auto" w:frame="1"/>
            <w:shd w:val="clear" w:color="auto" w:fill="FFFFFF"/>
          </w:rPr>
          <w:t>e</w:t>
        </w:r>
      </w:hyperlink>
      <w:r w:rsidR="0081253B" w:rsidRPr="00875F78">
        <w:rPr>
          <w:rStyle w:val="Hyperlink"/>
          <w:rFonts w:ascii="Arial" w:hAnsi="Arial" w:cs="Arial"/>
          <w:color w:val="auto"/>
          <w:spacing w:val="24"/>
          <w:sz w:val="24"/>
          <w:szCs w:val="24"/>
          <w:u w:val="none"/>
          <w:bdr w:val="none" w:sz="0" w:space="0" w:color="auto" w:frame="1"/>
          <w:shd w:val="clear" w:color="auto" w:fill="FFFFFF"/>
        </w:rPr>
        <w:t> </w:t>
      </w:r>
      <w:r w:rsidRPr="00875F78">
        <w:rPr>
          <w:rFonts w:ascii="Arial" w:hAnsi="Arial" w:cs="Arial"/>
          <w:sz w:val="24"/>
          <w:szCs w:val="24"/>
          <w:shd w:val="clear" w:color="auto" w:fill="FFFFFF"/>
        </w:rPr>
        <w:t>», (1996)</w:t>
      </w:r>
      <w:r w:rsidR="00855E21" w:rsidRPr="00875F78">
        <w:rPr>
          <w:rFonts w:ascii="Arial" w:hAnsi="Arial" w:cs="Arial"/>
          <w:sz w:val="24"/>
          <w:szCs w:val="24"/>
          <w:shd w:val="clear" w:color="auto" w:fill="FFFFFF"/>
        </w:rPr>
        <w:t xml:space="preserve"> </w:t>
      </w:r>
      <w:r w:rsidRPr="00875F78">
        <w:rPr>
          <w:rFonts w:ascii="Arial" w:hAnsi="Arial" w:cs="Arial"/>
          <w:sz w:val="24"/>
          <w:szCs w:val="24"/>
          <w:shd w:val="clear" w:color="auto" w:fill="FFFFFF"/>
        </w:rPr>
        <w:t>56 </w:t>
      </w:r>
      <w:r w:rsidRPr="00875F78">
        <w:rPr>
          <w:rFonts w:ascii="Arial" w:hAnsi="Arial" w:cs="Arial"/>
          <w:b/>
          <w:bCs/>
          <w:sz w:val="24"/>
          <w:szCs w:val="24"/>
          <w:bdr w:val="none" w:sz="0" w:space="0" w:color="auto" w:frame="1"/>
          <w:shd w:val="clear" w:color="auto" w:fill="FFFFFF"/>
        </w:rPr>
        <w:t>R. du B</w:t>
      </w:r>
      <w:r w:rsidRPr="00875F78">
        <w:rPr>
          <w:rFonts w:ascii="Arial" w:hAnsi="Arial" w:cs="Arial"/>
          <w:b/>
          <w:bCs/>
          <w:sz w:val="24"/>
          <w:szCs w:val="24"/>
          <w:shd w:val="clear" w:color="auto" w:fill="FFFFFF"/>
        </w:rPr>
        <w:t>.</w:t>
      </w:r>
      <w:r w:rsidR="0081253B" w:rsidRPr="00875F78">
        <w:rPr>
          <w:rFonts w:ascii="Arial" w:hAnsi="Arial" w:cs="Arial"/>
          <w:sz w:val="24"/>
          <w:szCs w:val="24"/>
          <w:shd w:val="clear" w:color="auto" w:fill="FFFFFF"/>
        </w:rPr>
        <w:t> </w:t>
      </w:r>
      <w:r w:rsidRPr="00875F78">
        <w:rPr>
          <w:rFonts w:ascii="Arial" w:hAnsi="Arial" w:cs="Arial"/>
          <w:sz w:val="24"/>
          <w:szCs w:val="24"/>
          <w:shd w:val="clear" w:color="auto" w:fill="FFFFFF"/>
        </w:rPr>
        <w:t>317, p.</w:t>
      </w:r>
      <w:r w:rsidR="0081253B" w:rsidRPr="00875F78">
        <w:rPr>
          <w:rFonts w:ascii="Arial" w:hAnsi="Arial" w:cs="Arial"/>
          <w:sz w:val="24"/>
          <w:szCs w:val="24"/>
          <w:shd w:val="clear" w:color="auto" w:fill="FFFFFF"/>
        </w:rPr>
        <w:t> </w:t>
      </w:r>
      <w:r w:rsidRPr="00875F78">
        <w:rPr>
          <w:rFonts w:ascii="Arial" w:hAnsi="Arial" w:cs="Arial"/>
          <w:sz w:val="24"/>
          <w:szCs w:val="24"/>
          <w:shd w:val="clear" w:color="auto" w:fill="FFFFFF"/>
        </w:rPr>
        <w:t>433.</w:t>
      </w:r>
    </w:p>
  </w:footnote>
  <w:footnote w:id="17">
    <w:p w14:paraId="607BEB52" w14:textId="0A714CB8" w:rsidR="004F5898" w:rsidRDefault="004F5898" w:rsidP="00855E21">
      <w:pPr>
        <w:pStyle w:val="FootnoteText"/>
        <w:ind w:left="0" w:firstLine="0"/>
        <w:jc w:val="left"/>
      </w:pPr>
      <w:r w:rsidRPr="00C51CD7">
        <w:rPr>
          <w:rStyle w:val="FootnoteReference"/>
          <w:rFonts w:ascii="Stag Sans Book" w:hAnsi="Stag Sans Book"/>
        </w:rPr>
        <w:footnoteRef/>
      </w:r>
      <w:r w:rsidRPr="00C51CD7">
        <w:rPr>
          <w:rFonts w:ascii="Stag Sans Book" w:hAnsi="Stag Sans Book"/>
        </w:rPr>
        <w:t xml:space="preserve"> </w:t>
      </w:r>
      <w:hyperlink r:id="rId3" w:history="1">
        <w:r w:rsidR="00E0318B" w:rsidRPr="00C51CD7">
          <w:rPr>
            <w:rStyle w:val="Hyperlink"/>
            <w:rFonts w:ascii="Stag Sans Book" w:hAnsi="Stag Sans Book"/>
          </w:rPr>
          <w:t>https://elois.caij.qc.ca/C-12/article10</w:t>
        </w:r>
      </w:hyperlink>
      <w:r w:rsidR="00E0318B" w:rsidRPr="00C51CD7">
        <w:rPr>
          <w:rFonts w:ascii="Stag Sans Book" w:hAnsi="Stag Sans Book"/>
        </w:rPr>
        <w:t>,</w:t>
      </w:r>
      <w:r w:rsidRPr="00C51CD7">
        <w:rPr>
          <w:rFonts w:ascii="Stag Sans Book" w:hAnsi="Stag Sans Book"/>
        </w:rPr>
        <w:t xml:space="preserve"> </w:t>
      </w:r>
      <w:r w:rsidRPr="00C51CD7">
        <w:rPr>
          <w:rFonts w:ascii="Stag Sans Book" w:hAnsi="Stag Sans Book" w:cstheme="majorBidi"/>
        </w:rPr>
        <w:t>N°</w:t>
      </w:r>
      <w:r w:rsidR="0081253B">
        <w:rPr>
          <w:rFonts w:ascii="Stag Sans Book" w:hAnsi="Stag Sans Book" w:cstheme="majorBidi"/>
        </w:rPr>
        <w:t> </w:t>
      </w:r>
      <w:r w:rsidRPr="00C51CD7">
        <w:rPr>
          <w:rFonts w:ascii="Stag Sans Book" w:hAnsi="Stag Sans Book"/>
        </w:rPr>
        <w:t>285.</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DB30E" w14:textId="77777777" w:rsidR="004A622C" w:rsidRDefault="004A62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C6D6" w14:textId="77777777" w:rsidR="004A622C" w:rsidRDefault="004A6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FB0E" w14:textId="77777777" w:rsidR="004A622C" w:rsidRDefault="004A62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TrueType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71"/>
    <w:rsid w:val="00023D37"/>
    <w:rsid w:val="00045554"/>
    <w:rsid w:val="00045F40"/>
    <w:rsid w:val="0008059B"/>
    <w:rsid w:val="00082671"/>
    <w:rsid w:val="000905A1"/>
    <w:rsid w:val="000E3F5B"/>
    <w:rsid w:val="001070A5"/>
    <w:rsid w:val="00110BAA"/>
    <w:rsid w:val="001150C9"/>
    <w:rsid w:val="0012204B"/>
    <w:rsid w:val="001577C6"/>
    <w:rsid w:val="00166277"/>
    <w:rsid w:val="00170FC2"/>
    <w:rsid w:val="001E4368"/>
    <w:rsid w:val="001F178A"/>
    <w:rsid w:val="002011A0"/>
    <w:rsid w:val="00210EB8"/>
    <w:rsid w:val="002179A7"/>
    <w:rsid w:val="002250FE"/>
    <w:rsid w:val="00225D4A"/>
    <w:rsid w:val="002317C9"/>
    <w:rsid w:val="002640E6"/>
    <w:rsid w:val="00264F55"/>
    <w:rsid w:val="002862A9"/>
    <w:rsid w:val="00297CB5"/>
    <w:rsid w:val="002A3A3F"/>
    <w:rsid w:val="002C1D5D"/>
    <w:rsid w:val="002F4CB6"/>
    <w:rsid w:val="002F789B"/>
    <w:rsid w:val="003004F8"/>
    <w:rsid w:val="00305673"/>
    <w:rsid w:val="00326AD0"/>
    <w:rsid w:val="00353F3F"/>
    <w:rsid w:val="003634E4"/>
    <w:rsid w:val="00391925"/>
    <w:rsid w:val="00392398"/>
    <w:rsid w:val="00393EB4"/>
    <w:rsid w:val="00397C84"/>
    <w:rsid w:val="003D01DC"/>
    <w:rsid w:val="004329D4"/>
    <w:rsid w:val="00435958"/>
    <w:rsid w:val="00437499"/>
    <w:rsid w:val="00440119"/>
    <w:rsid w:val="00450ABF"/>
    <w:rsid w:val="00466980"/>
    <w:rsid w:val="00470C92"/>
    <w:rsid w:val="00474A02"/>
    <w:rsid w:val="004A520B"/>
    <w:rsid w:val="004A622C"/>
    <w:rsid w:val="004B0CB7"/>
    <w:rsid w:val="004F3986"/>
    <w:rsid w:val="004F4C6C"/>
    <w:rsid w:val="004F5898"/>
    <w:rsid w:val="004F79BD"/>
    <w:rsid w:val="005364EB"/>
    <w:rsid w:val="005415DF"/>
    <w:rsid w:val="0055044E"/>
    <w:rsid w:val="00561D75"/>
    <w:rsid w:val="0059508D"/>
    <w:rsid w:val="005B348D"/>
    <w:rsid w:val="005C613A"/>
    <w:rsid w:val="005E0DE1"/>
    <w:rsid w:val="005E0E71"/>
    <w:rsid w:val="005E4E71"/>
    <w:rsid w:val="005F2456"/>
    <w:rsid w:val="00610D95"/>
    <w:rsid w:val="006152C6"/>
    <w:rsid w:val="00657F11"/>
    <w:rsid w:val="00685B70"/>
    <w:rsid w:val="00692A1F"/>
    <w:rsid w:val="006A39B2"/>
    <w:rsid w:val="006B10C4"/>
    <w:rsid w:val="006C6960"/>
    <w:rsid w:val="006F06EB"/>
    <w:rsid w:val="006F40C7"/>
    <w:rsid w:val="006F4C04"/>
    <w:rsid w:val="00705C84"/>
    <w:rsid w:val="00706317"/>
    <w:rsid w:val="007121CF"/>
    <w:rsid w:val="00725F97"/>
    <w:rsid w:val="00752E40"/>
    <w:rsid w:val="007533DC"/>
    <w:rsid w:val="00755ABE"/>
    <w:rsid w:val="00760362"/>
    <w:rsid w:val="007742E8"/>
    <w:rsid w:val="007B315B"/>
    <w:rsid w:val="007C2DE9"/>
    <w:rsid w:val="007C3A71"/>
    <w:rsid w:val="008060CC"/>
    <w:rsid w:val="008122FA"/>
    <w:rsid w:val="0081253B"/>
    <w:rsid w:val="00836AED"/>
    <w:rsid w:val="00855E21"/>
    <w:rsid w:val="00861FAC"/>
    <w:rsid w:val="00863DF3"/>
    <w:rsid w:val="00875F78"/>
    <w:rsid w:val="00882248"/>
    <w:rsid w:val="008826D0"/>
    <w:rsid w:val="008B3DD1"/>
    <w:rsid w:val="008F296C"/>
    <w:rsid w:val="00907759"/>
    <w:rsid w:val="00944086"/>
    <w:rsid w:val="00952699"/>
    <w:rsid w:val="009574FE"/>
    <w:rsid w:val="00997652"/>
    <w:rsid w:val="009D2D06"/>
    <w:rsid w:val="009E4399"/>
    <w:rsid w:val="00A12746"/>
    <w:rsid w:val="00A25541"/>
    <w:rsid w:val="00A33ED4"/>
    <w:rsid w:val="00A62B71"/>
    <w:rsid w:val="00A74DF2"/>
    <w:rsid w:val="00A90E9D"/>
    <w:rsid w:val="00A9105E"/>
    <w:rsid w:val="00AA5B5D"/>
    <w:rsid w:val="00AA782E"/>
    <w:rsid w:val="00AB2C4C"/>
    <w:rsid w:val="00AD3593"/>
    <w:rsid w:val="00B053BD"/>
    <w:rsid w:val="00B10777"/>
    <w:rsid w:val="00B16E6C"/>
    <w:rsid w:val="00B23C5E"/>
    <w:rsid w:val="00B36247"/>
    <w:rsid w:val="00B60C8D"/>
    <w:rsid w:val="00BD6B10"/>
    <w:rsid w:val="00BF529D"/>
    <w:rsid w:val="00C51CD7"/>
    <w:rsid w:val="00C65109"/>
    <w:rsid w:val="00C65B76"/>
    <w:rsid w:val="00C67F7C"/>
    <w:rsid w:val="00C75D20"/>
    <w:rsid w:val="00C82324"/>
    <w:rsid w:val="00CC093D"/>
    <w:rsid w:val="00CF3E7C"/>
    <w:rsid w:val="00CF5A4B"/>
    <w:rsid w:val="00D13F15"/>
    <w:rsid w:val="00D26BB7"/>
    <w:rsid w:val="00D30BAD"/>
    <w:rsid w:val="00D5008F"/>
    <w:rsid w:val="00D92621"/>
    <w:rsid w:val="00DA5289"/>
    <w:rsid w:val="00DB7FF0"/>
    <w:rsid w:val="00DC3477"/>
    <w:rsid w:val="00DC477B"/>
    <w:rsid w:val="00E0318B"/>
    <w:rsid w:val="00E23A61"/>
    <w:rsid w:val="00E300E9"/>
    <w:rsid w:val="00E3390D"/>
    <w:rsid w:val="00E4047A"/>
    <w:rsid w:val="00E70749"/>
    <w:rsid w:val="00E75CCA"/>
    <w:rsid w:val="00E933C6"/>
    <w:rsid w:val="00EC3534"/>
    <w:rsid w:val="00F13C92"/>
    <w:rsid w:val="00F557E8"/>
    <w:rsid w:val="00F6099C"/>
    <w:rsid w:val="00F60A97"/>
    <w:rsid w:val="00F947D9"/>
    <w:rsid w:val="00FB03C4"/>
    <w:rsid w:val="00FC000C"/>
    <w:rsid w:val="00FE39A0"/>
    <w:rsid w:val="00FE563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9ED"/>
  <w15:chartTrackingRefBased/>
  <w15:docId w15:val="{08B51C08-76E0-4FD5-BC5C-4E5B05F4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DF2"/>
    <w:rPr>
      <w:rFonts w:ascii="Arial" w:hAnsi="Arial"/>
      <w:sz w:val="28"/>
    </w:rPr>
  </w:style>
  <w:style w:type="paragraph" w:styleId="Heading1">
    <w:name w:val="heading 1"/>
    <w:basedOn w:val="Normal"/>
    <w:next w:val="Normal"/>
    <w:link w:val="Heading1Char"/>
    <w:uiPriority w:val="9"/>
    <w:qFormat/>
    <w:rsid w:val="002F789B"/>
    <w:pPr>
      <w:keepNext/>
      <w:keepLines/>
      <w:spacing w:before="240" w:after="0"/>
      <w:outlineLvl w:val="0"/>
    </w:pPr>
    <w:rPr>
      <w:rFonts w:ascii="Arial Black" w:eastAsiaTheme="majorEastAsia" w:hAnsi="Arial Black" w:cstheme="majorBidi"/>
      <w:sz w:val="56"/>
      <w:szCs w:val="32"/>
    </w:rPr>
  </w:style>
  <w:style w:type="paragraph" w:styleId="Heading2">
    <w:name w:val="heading 2"/>
    <w:basedOn w:val="Normal"/>
    <w:next w:val="Normal"/>
    <w:link w:val="Heading2Char"/>
    <w:uiPriority w:val="9"/>
    <w:unhideWhenUsed/>
    <w:qFormat/>
    <w:rsid w:val="002F789B"/>
    <w:pPr>
      <w:keepNext/>
      <w:keepLines/>
      <w:spacing w:before="40" w:after="0"/>
      <w:outlineLvl w:val="1"/>
    </w:pPr>
    <w:rPr>
      <w:rFonts w:ascii="Arial Black" w:eastAsiaTheme="majorEastAsia" w:hAnsi="Arial Black" w:cstheme="majorBidi"/>
      <w:b/>
      <w:sz w:val="48"/>
      <w:szCs w:val="26"/>
    </w:rPr>
  </w:style>
  <w:style w:type="paragraph" w:styleId="Heading3">
    <w:name w:val="heading 3"/>
    <w:basedOn w:val="Normal"/>
    <w:next w:val="Normal"/>
    <w:link w:val="Heading3Char"/>
    <w:uiPriority w:val="9"/>
    <w:unhideWhenUsed/>
    <w:qFormat/>
    <w:rsid w:val="002F789B"/>
    <w:pPr>
      <w:keepNext/>
      <w:keepLines/>
      <w:spacing w:before="40" w:after="0"/>
      <w:outlineLvl w:val="2"/>
    </w:pPr>
    <w:rPr>
      <w:rFonts w:ascii="Arial Black" w:eastAsiaTheme="majorEastAsia" w:hAnsi="Arial Black" w:cstheme="majorBidi"/>
      <w:sz w:val="44"/>
      <w:szCs w:val="24"/>
    </w:rPr>
  </w:style>
  <w:style w:type="paragraph" w:styleId="Heading4">
    <w:name w:val="heading 4"/>
    <w:basedOn w:val="Normal"/>
    <w:next w:val="Normal"/>
    <w:link w:val="Heading4Char"/>
    <w:uiPriority w:val="9"/>
    <w:unhideWhenUsed/>
    <w:qFormat/>
    <w:rsid w:val="002F789B"/>
    <w:pPr>
      <w:keepNext/>
      <w:keepLines/>
      <w:spacing w:before="40" w:after="0"/>
      <w:outlineLvl w:val="3"/>
    </w:pPr>
    <w:rPr>
      <w:rFonts w:ascii="Arial Black" w:eastAsiaTheme="majorEastAsia" w:hAnsi="Arial Black" w:cstheme="majorBidi"/>
      <w:i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INCA">
    <w:name w:val="Titre 1 - INCA"/>
    <w:basedOn w:val="Heading1"/>
    <w:link w:val="Titre1-INCAChar"/>
    <w:qFormat/>
    <w:rsid w:val="002250FE"/>
    <w:rPr>
      <w:rFonts w:ascii="DK Plakkaat" w:hAnsi="DK Plakkaat"/>
      <w:sz w:val="44"/>
    </w:rPr>
  </w:style>
  <w:style w:type="character" w:customStyle="1" w:styleId="Titre1-INCAChar">
    <w:name w:val="Titre 1 - INCA Char"/>
    <w:basedOn w:val="Heading1Char"/>
    <w:link w:val="Titre1-INCA"/>
    <w:rsid w:val="002250FE"/>
    <w:rPr>
      <w:rFonts w:ascii="DK Plakkaat" w:eastAsiaTheme="majorEastAsia" w:hAnsi="DK Plakkaat" w:cstheme="majorBidi"/>
      <w:color w:val="2F5496" w:themeColor="accent1" w:themeShade="BF"/>
      <w:sz w:val="44"/>
      <w:szCs w:val="32"/>
    </w:rPr>
  </w:style>
  <w:style w:type="character" w:customStyle="1" w:styleId="Heading1Char">
    <w:name w:val="Heading 1 Char"/>
    <w:basedOn w:val="DefaultParagraphFont"/>
    <w:link w:val="Heading1"/>
    <w:uiPriority w:val="9"/>
    <w:rsid w:val="002F789B"/>
    <w:rPr>
      <w:rFonts w:ascii="Arial Black" w:eastAsiaTheme="majorEastAsia" w:hAnsi="Arial Black" w:cstheme="majorBidi"/>
      <w:sz w:val="56"/>
      <w:szCs w:val="32"/>
    </w:rPr>
  </w:style>
  <w:style w:type="paragraph" w:customStyle="1" w:styleId="Texte-INCA">
    <w:name w:val="Texte - INCA"/>
    <w:basedOn w:val="Normal"/>
    <w:link w:val="Texte-INCAChar"/>
    <w:qFormat/>
    <w:rsid w:val="00393EB4"/>
    <w:pPr>
      <w:spacing w:line="360" w:lineRule="auto"/>
    </w:pPr>
  </w:style>
  <w:style w:type="character" w:customStyle="1" w:styleId="Texte-INCAChar">
    <w:name w:val="Texte - INCA Char"/>
    <w:basedOn w:val="DefaultParagraphFont"/>
    <w:link w:val="Texte-INCA"/>
    <w:rsid w:val="00393EB4"/>
    <w:rPr>
      <w:rFonts w:ascii="Stag Sans Book" w:hAnsi="Stag Sans Book"/>
      <w:sz w:val="28"/>
    </w:rPr>
  </w:style>
  <w:style w:type="paragraph" w:customStyle="1" w:styleId="Titre2-INCA">
    <w:name w:val="Titre 2 - INCA"/>
    <w:basedOn w:val="Titre1-INCA"/>
    <w:next w:val="Texte-INCA"/>
    <w:link w:val="Titre2-INCAChar"/>
    <w:autoRedefine/>
    <w:qFormat/>
    <w:rsid w:val="00450ABF"/>
    <w:rPr>
      <w:rFonts w:ascii="Stag Sans Semibold" w:hAnsi="Stag Sans Semibold"/>
      <w:sz w:val="36"/>
    </w:rPr>
  </w:style>
  <w:style w:type="character" w:customStyle="1" w:styleId="Titre2-INCAChar">
    <w:name w:val="Titre 2 - INCA Char"/>
    <w:basedOn w:val="Titre1-INCAChar"/>
    <w:link w:val="Titre2-INCA"/>
    <w:rsid w:val="00450ABF"/>
    <w:rPr>
      <w:rFonts w:ascii="Stag Sans Semibold" w:eastAsiaTheme="majorEastAsia" w:hAnsi="Stag Sans Semibold" w:cstheme="majorBidi"/>
      <w:color w:val="2F5496" w:themeColor="accent1" w:themeShade="BF"/>
      <w:sz w:val="36"/>
      <w:szCs w:val="32"/>
    </w:rPr>
  </w:style>
  <w:style w:type="paragraph" w:customStyle="1" w:styleId="Titre3-INCA">
    <w:name w:val="Titre 3 - INCA"/>
    <w:basedOn w:val="Titre2-INCA"/>
    <w:next w:val="Texte-INCA"/>
    <w:link w:val="Titre3-INCACar"/>
    <w:qFormat/>
    <w:rsid w:val="002250FE"/>
    <w:rPr>
      <w:rFonts w:ascii="Stag Sans Medium" w:hAnsi="Stag Sans Medium"/>
      <w:sz w:val="32"/>
    </w:rPr>
  </w:style>
  <w:style w:type="character" w:customStyle="1" w:styleId="Titre3-INCACar">
    <w:name w:val="Titre 3 - INCA Car"/>
    <w:basedOn w:val="Titre2-INCAChar"/>
    <w:link w:val="Titre3-INCA"/>
    <w:rsid w:val="002250FE"/>
    <w:rPr>
      <w:rFonts w:ascii="Stag Sans Medium" w:eastAsiaTheme="majorEastAsia" w:hAnsi="Stag Sans Medium" w:cstheme="majorBidi"/>
      <w:color w:val="2F5496" w:themeColor="accent1" w:themeShade="BF"/>
      <w:sz w:val="32"/>
      <w:szCs w:val="32"/>
    </w:rPr>
  </w:style>
  <w:style w:type="paragraph" w:customStyle="1" w:styleId="Titre12-INCA">
    <w:name w:val="Titre 1.2 - INCA"/>
    <w:basedOn w:val="Titre2-INCA"/>
    <w:next w:val="Titre2-INCA"/>
    <w:link w:val="Titre12-INCACar"/>
    <w:qFormat/>
    <w:rsid w:val="00450ABF"/>
    <w:rPr>
      <w:sz w:val="48"/>
    </w:rPr>
  </w:style>
  <w:style w:type="character" w:customStyle="1" w:styleId="Titre12-INCACar">
    <w:name w:val="Titre 1.2 - INCA Car"/>
    <w:basedOn w:val="Titre2-INCAChar"/>
    <w:link w:val="Titre12-INCA"/>
    <w:rsid w:val="00450ABF"/>
    <w:rPr>
      <w:rFonts w:ascii="Stag Sans Semibold" w:eastAsiaTheme="majorEastAsia" w:hAnsi="Stag Sans Semibold" w:cstheme="majorBidi"/>
      <w:color w:val="2F5496" w:themeColor="accent1" w:themeShade="BF"/>
      <w:sz w:val="48"/>
      <w:szCs w:val="32"/>
    </w:rPr>
  </w:style>
  <w:style w:type="paragraph" w:styleId="Title">
    <w:name w:val="Title"/>
    <w:basedOn w:val="Normal"/>
    <w:next w:val="Normal"/>
    <w:link w:val="TitleChar"/>
    <w:uiPriority w:val="10"/>
    <w:qFormat/>
    <w:rsid w:val="00210EB8"/>
    <w:pPr>
      <w:spacing w:after="0" w:line="240" w:lineRule="auto"/>
      <w:contextualSpacing/>
    </w:pPr>
    <w:rPr>
      <w:rFonts w:ascii="Arial Black" w:eastAsiaTheme="majorEastAsia" w:hAnsi="Arial Black" w:cstheme="majorBidi"/>
      <w:spacing w:val="-10"/>
      <w:kern w:val="28"/>
      <w:sz w:val="48"/>
      <w:szCs w:val="56"/>
    </w:rPr>
  </w:style>
  <w:style w:type="character" w:customStyle="1" w:styleId="TitleChar">
    <w:name w:val="Title Char"/>
    <w:basedOn w:val="DefaultParagraphFont"/>
    <w:link w:val="Title"/>
    <w:uiPriority w:val="10"/>
    <w:rsid w:val="00210EB8"/>
    <w:rPr>
      <w:rFonts w:ascii="Arial Black" w:eastAsiaTheme="majorEastAsia" w:hAnsi="Arial Black" w:cstheme="majorBidi"/>
      <w:spacing w:val="-10"/>
      <w:kern w:val="28"/>
      <w:sz w:val="48"/>
      <w:szCs w:val="56"/>
    </w:rPr>
  </w:style>
  <w:style w:type="character" w:customStyle="1" w:styleId="Heading2Char">
    <w:name w:val="Heading 2 Char"/>
    <w:basedOn w:val="DefaultParagraphFont"/>
    <w:link w:val="Heading2"/>
    <w:uiPriority w:val="9"/>
    <w:rsid w:val="002F789B"/>
    <w:rPr>
      <w:rFonts w:ascii="Arial Black" w:eastAsiaTheme="majorEastAsia" w:hAnsi="Arial Black" w:cstheme="majorBidi"/>
      <w:b/>
      <w:sz w:val="48"/>
      <w:szCs w:val="26"/>
    </w:rPr>
  </w:style>
  <w:style w:type="paragraph" w:styleId="Header">
    <w:name w:val="header"/>
    <w:basedOn w:val="Normal"/>
    <w:link w:val="HeaderChar"/>
    <w:uiPriority w:val="99"/>
    <w:unhideWhenUsed/>
    <w:rsid w:val="00536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4EB"/>
  </w:style>
  <w:style w:type="paragraph" w:styleId="Footer">
    <w:name w:val="footer"/>
    <w:basedOn w:val="Normal"/>
    <w:link w:val="FooterChar"/>
    <w:uiPriority w:val="99"/>
    <w:unhideWhenUsed/>
    <w:rsid w:val="00536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4EB"/>
  </w:style>
  <w:style w:type="character" w:customStyle="1" w:styleId="Heading3Char">
    <w:name w:val="Heading 3 Char"/>
    <w:basedOn w:val="DefaultParagraphFont"/>
    <w:link w:val="Heading3"/>
    <w:uiPriority w:val="9"/>
    <w:rsid w:val="002F789B"/>
    <w:rPr>
      <w:rFonts w:ascii="Arial Black" w:eastAsiaTheme="majorEastAsia" w:hAnsi="Arial Black" w:cstheme="majorBidi"/>
      <w:sz w:val="44"/>
      <w:szCs w:val="24"/>
    </w:rPr>
  </w:style>
  <w:style w:type="character" w:customStyle="1" w:styleId="Heading4Char">
    <w:name w:val="Heading 4 Char"/>
    <w:basedOn w:val="DefaultParagraphFont"/>
    <w:link w:val="Heading4"/>
    <w:uiPriority w:val="9"/>
    <w:rsid w:val="002F789B"/>
    <w:rPr>
      <w:rFonts w:ascii="Arial Black" w:eastAsiaTheme="majorEastAsia" w:hAnsi="Arial Black" w:cstheme="majorBidi"/>
      <w:iCs/>
      <w:sz w:val="40"/>
    </w:rPr>
  </w:style>
  <w:style w:type="paragraph" w:styleId="Subtitle">
    <w:name w:val="Subtitle"/>
    <w:basedOn w:val="Normal"/>
    <w:next w:val="Normal"/>
    <w:link w:val="SubtitleChar"/>
    <w:uiPriority w:val="11"/>
    <w:qFormat/>
    <w:rsid w:val="00705C84"/>
    <w:pPr>
      <w:numPr>
        <w:ilvl w:val="1"/>
      </w:numPr>
    </w:pPr>
    <w:rPr>
      <w:rFonts w:eastAsiaTheme="minorEastAsia"/>
      <w:color w:val="5A5A5A" w:themeColor="text1" w:themeTint="A5"/>
      <w:spacing w:val="15"/>
    </w:rPr>
  </w:style>
  <w:style w:type="paragraph" w:styleId="TOC1">
    <w:name w:val="toc 1"/>
    <w:basedOn w:val="Normal"/>
    <w:next w:val="Normal"/>
    <w:autoRedefine/>
    <w:uiPriority w:val="39"/>
    <w:unhideWhenUsed/>
    <w:rsid w:val="00705C84"/>
    <w:pPr>
      <w:spacing w:after="100"/>
    </w:pPr>
    <w:rPr>
      <w:rFonts w:ascii="Stag Sans Medium" w:hAnsi="Stag Sans Medium"/>
      <w:sz w:val="40"/>
    </w:rPr>
  </w:style>
  <w:style w:type="paragraph" w:styleId="TOC2">
    <w:name w:val="toc 2"/>
    <w:basedOn w:val="Normal"/>
    <w:next w:val="Normal"/>
    <w:autoRedefine/>
    <w:uiPriority w:val="39"/>
    <w:unhideWhenUsed/>
    <w:rsid w:val="00705C84"/>
    <w:pPr>
      <w:spacing w:after="100"/>
      <w:ind w:left="220"/>
    </w:pPr>
    <w:rPr>
      <w:rFonts w:ascii="Stag Sans Medium" w:hAnsi="Stag Sans Medium"/>
      <w:sz w:val="36"/>
    </w:rPr>
  </w:style>
  <w:style w:type="paragraph" w:styleId="TOC3">
    <w:name w:val="toc 3"/>
    <w:basedOn w:val="Normal"/>
    <w:next w:val="Normal"/>
    <w:autoRedefine/>
    <w:uiPriority w:val="39"/>
    <w:unhideWhenUsed/>
    <w:rsid w:val="00705C84"/>
    <w:pPr>
      <w:spacing w:after="100"/>
      <w:ind w:left="440"/>
    </w:pPr>
    <w:rPr>
      <w:sz w:val="32"/>
    </w:rPr>
  </w:style>
  <w:style w:type="character" w:customStyle="1" w:styleId="SubtitleChar">
    <w:name w:val="Subtitle Char"/>
    <w:basedOn w:val="DefaultParagraphFont"/>
    <w:link w:val="Subtitle"/>
    <w:uiPriority w:val="11"/>
    <w:rsid w:val="00705C84"/>
    <w:rPr>
      <w:rFonts w:eastAsiaTheme="minorEastAsia"/>
      <w:color w:val="5A5A5A" w:themeColor="text1" w:themeTint="A5"/>
      <w:spacing w:val="15"/>
    </w:rPr>
  </w:style>
  <w:style w:type="character" w:styleId="Hyperlink">
    <w:name w:val="Hyperlink"/>
    <w:basedOn w:val="DefaultParagraphFont"/>
    <w:uiPriority w:val="99"/>
    <w:unhideWhenUsed/>
    <w:rsid w:val="00705C84"/>
    <w:rPr>
      <w:color w:val="0563C1" w:themeColor="hyperlink"/>
      <w:u w:val="single"/>
    </w:rPr>
  </w:style>
  <w:style w:type="paragraph" w:styleId="PlainText">
    <w:name w:val="Plain Text"/>
    <w:basedOn w:val="Normal"/>
    <w:link w:val="PlainTextChar"/>
    <w:uiPriority w:val="99"/>
    <w:semiHidden/>
    <w:unhideWhenUsed/>
    <w:rsid w:val="004F589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F5898"/>
    <w:rPr>
      <w:rFonts w:ascii="Consolas" w:hAnsi="Consolas"/>
      <w:sz w:val="21"/>
      <w:szCs w:val="21"/>
    </w:rPr>
  </w:style>
  <w:style w:type="paragraph" w:styleId="FootnoteText">
    <w:name w:val="footnote text"/>
    <w:basedOn w:val="Normal"/>
    <w:link w:val="FootnoteTextChar"/>
    <w:unhideWhenUsed/>
    <w:rsid w:val="004F5898"/>
    <w:pPr>
      <w:spacing w:after="0" w:line="240" w:lineRule="auto"/>
      <w:ind w:left="714" w:hanging="357"/>
      <w:jc w:val="both"/>
    </w:pPr>
    <w:rPr>
      <w:rFonts w:ascii="Times New Roman" w:hAnsi="Times New Roman" w:cs="Times New Roman"/>
      <w:sz w:val="20"/>
      <w:szCs w:val="20"/>
    </w:rPr>
  </w:style>
  <w:style w:type="character" w:customStyle="1" w:styleId="FootnoteTextChar">
    <w:name w:val="Footnote Text Char"/>
    <w:basedOn w:val="DefaultParagraphFont"/>
    <w:link w:val="FootnoteText"/>
    <w:rsid w:val="004F5898"/>
    <w:rPr>
      <w:rFonts w:ascii="Times New Roman" w:hAnsi="Times New Roman" w:cs="Times New Roman"/>
      <w:sz w:val="20"/>
      <w:szCs w:val="20"/>
    </w:rPr>
  </w:style>
  <w:style w:type="character" w:styleId="FootnoteReference">
    <w:name w:val="footnote reference"/>
    <w:basedOn w:val="DefaultParagraphFont"/>
    <w:semiHidden/>
    <w:unhideWhenUsed/>
    <w:rsid w:val="004F5898"/>
    <w:rPr>
      <w:vertAlign w:val="superscript"/>
    </w:rPr>
  </w:style>
  <w:style w:type="character" w:styleId="UnresolvedMention">
    <w:name w:val="Unresolved Mention"/>
    <w:basedOn w:val="DefaultParagraphFont"/>
    <w:uiPriority w:val="99"/>
    <w:semiHidden/>
    <w:unhideWhenUsed/>
    <w:rsid w:val="004F5898"/>
    <w:rPr>
      <w:color w:val="605E5C"/>
      <w:shd w:val="clear" w:color="auto" w:fill="E1DFDD"/>
    </w:rPr>
  </w:style>
  <w:style w:type="paragraph" w:styleId="TOCHeading">
    <w:name w:val="TOC Heading"/>
    <w:basedOn w:val="Heading1"/>
    <w:next w:val="Normal"/>
    <w:uiPriority w:val="39"/>
    <w:unhideWhenUsed/>
    <w:qFormat/>
    <w:rsid w:val="0008059B"/>
    <w:pPr>
      <w:outlineLvl w:val="9"/>
    </w:pPr>
    <w:rPr>
      <w:rFonts w:asciiTheme="majorHAnsi" w:hAnsiTheme="majorHAnsi"/>
      <w:color w:val="2F5496"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nik.caij.qc.ca/permalien/fr/qc/legis/lois/rlrq-c-e-20.1/derniere/rlrq-c-e-20.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nq.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ca.ca/fr?region=q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elois.caij.qc.ca/C-12/article10" TargetMode="External"/><Relationship Id="rId2" Type="http://schemas.openxmlformats.org/officeDocument/2006/relationships/hyperlink" Target="https://unik.caij.qc.ca/permalien/fr/qc/legis/lois/rlrq-c-c-12/derniere/rlrq-c-c-12" TargetMode="External"/><Relationship Id="rId1" Type="http://schemas.openxmlformats.org/officeDocument/2006/relationships/hyperlink" Target="http://ifr-handicap.inserm.fr/nouv06/CIF-demographie-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A77E4-29E5-457A-8C15-A8DEC674B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12</Pages>
  <Words>2406</Words>
  <Characters>13235</Characters>
  <Application>Microsoft Office Word</Application>
  <DocSecurity>2</DocSecurity>
  <Lines>110</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Durocher</dc:creator>
  <cp:keywords/>
  <dc:description/>
  <cp:lastModifiedBy>Laurence Durocher</cp:lastModifiedBy>
  <cp:revision>139</cp:revision>
  <cp:lastPrinted>2021-08-13T16:48:00Z</cp:lastPrinted>
  <dcterms:created xsi:type="dcterms:W3CDTF">2021-06-08T18:12:00Z</dcterms:created>
  <dcterms:modified xsi:type="dcterms:W3CDTF">2021-08-13T16:48:00Z</dcterms:modified>
</cp:coreProperties>
</file>