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CB5C" w14:textId="06E37081" w:rsidR="008A5361" w:rsidRDefault="00FD2D81" w:rsidP="008A5361">
      <w:pPr>
        <w:pStyle w:val="Heading1"/>
      </w:pPr>
      <w:bookmarkStart w:id="0" w:name="_Toc144449535"/>
      <w:r w:rsidRPr="00FD2D81">
        <w:t>Élaboration d'un cadre de conception universelle fondé sur des données probantes pour les normes d'emploi au Canada</w:t>
      </w:r>
    </w:p>
    <w:p w14:paraId="10DFD5C9" w14:textId="77777777" w:rsidR="008A5361" w:rsidRPr="008A5361" w:rsidRDefault="008A5361" w:rsidP="008A5361"/>
    <w:p w14:paraId="62CCD660" w14:textId="511CF2AE" w:rsidR="008B72AE" w:rsidRPr="00446A66" w:rsidRDefault="008B72AE" w:rsidP="00446A66">
      <w:pPr>
        <w:pStyle w:val="Heading2"/>
      </w:pPr>
      <w:r w:rsidRPr="001270CD">
        <w:t>Résumé</w:t>
      </w:r>
      <w:bookmarkEnd w:id="0"/>
    </w:p>
    <w:p w14:paraId="67491636" w14:textId="77777777" w:rsidR="008B72AE" w:rsidRPr="00446A66" w:rsidRDefault="008B72AE" w:rsidP="00446A66">
      <w:r w:rsidRPr="00446A66">
        <w:t xml:space="preserve">Depuis l'adoption du projet de loi C-81, Loi sur le Canada accessible (2019), de nouvelles normes et attentes sont élaborées dans des domaines fondamentaux qui ont une incidence sur la vie des Canadiens handicapés. Bien que représentant 22% de la population canadienne, les expériences et les réalités des personnes handicapées sont hétérogènes et intersectionnelles. Sous l'égide de Normes d'accessibilité Canada, INCA et des collaborateurs du monde universitaire et de l'industrie ont entrepris une série de projets de recherche visant à recueillir des preuves et des données sur les réalités de l'emploi des Canadiens atteints de déficiences de traitement sensoriel. Le rapport rassemble les données les plus récentes provenant </w:t>
      </w:r>
      <w:proofErr w:type="gramStart"/>
      <w:r w:rsidRPr="00446A66">
        <w:t>des secteurs universitaire</w:t>
      </w:r>
      <w:proofErr w:type="gramEnd"/>
      <w:r w:rsidRPr="00446A66">
        <w:t xml:space="preserve"> et à but non lucratif afin de comprendre les obstacles et les facilitateurs à l'emploi pour les </w:t>
      </w:r>
      <w:r w:rsidRPr="00446A66">
        <w:lastRenderedPageBreak/>
        <w:t xml:space="preserve">Canadiens aveugles, sourds et aveugles, malvoyants et ayant d'autres déficiences ayant un impact sur le système sensoriel. L'objectif de ces projets est de synthétiser un cadre de conception universelle de l'emploi pour les Canadiens présentant des handicaps sensoriels et d'identifier des outils, des politiques et des pratiques nouveaux et innovants susceptibles d'améliorer les taux d'emploi des personnes en âge de travailler. Les perspectives des personnes ayant une expérience vécue ont motivé et guidé ce programme de recherche, afin de construire un cadre de conception universelle en matière d'emploi en utilisant une approche de la théorie des systèmes écologiques. </w:t>
      </w:r>
    </w:p>
    <w:p w14:paraId="79E600B0" w14:textId="77777777" w:rsidR="008B72AE" w:rsidRPr="001270CD" w:rsidRDefault="008B72AE" w:rsidP="00446A66">
      <w:r w:rsidRPr="001270CD">
        <w:rPr>
          <w:b/>
          <w:bCs/>
        </w:rPr>
        <w:t>Principales conclusions :</w:t>
      </w:r>
      <w:r w:rsidRPr="001270CD">
        <w:t xml:space="preserve"> Les politiques d'emploi pour les personnes handicapées ne répondent pas aux besoins des individus et à leur situation particulière. Souvent, elles sont trop générales, manquent de responsabilisation et doivent être améliorées. </w:t>
      </w:r>
    </w:p>
    <w:p w14:paraId="07B54F6F" w14:textId="77777777" w:rsidR="008B72AE" w:rsidRPr="001270CD" w:rsidRDefault="008B72AE" w:rsidP="00446A66">
      <w:r w:rsidRPr="001270CD">
        <w:rPr>
          <w:b/>
          <w:bCs/>
        </w:rPr>
        <w:t>Principales conclusions :</w:t>
      </w:r>
      <w:r w:rsidRPr="001270CD">
        <w:t xml:space="preserve"> Au Canada, les adultes en âge de travailler continuent de souffrir de lacunes importantes en matière de données et d'un manque de structure de rapport, notamment en ce qui concerne les données longitudinales et l'impact sur le parcours de vie. </w:t>
      </w:r>
    </w:p>
    <w:p w14:paraId="51B51397" w14:textId="77777777" w:rsidR="008B72AE" w:rsidRPr="001270CD" w:rsidRDefault="008B72AE" w:rsidP="00446A66">
      <w:r w:rsidRPr="001270CD">
        <w:rPr>
          <w:b/>
          <w:bCs/>
        </w:rPr>
        <w:lastRenderedPageBreak/>
        <w:t>Principales conclusions :</w:t>
      </w:r>
      <w:r w:rsidRPr="001270CD">
        <w:t xml:space="preserve"> Les employeurs ont besoin de plus de soutien et de formation pour comprendre le handicap et les besoins des personnes handicapées ou des chercheurs d'emploi éventuels. </w:t>
      </w:r>
    </w:p>
    <w:p w14:paraId="2ABD5F86" w14:textId="77777777" w:rsidR="008B72AE" w:rsidRPr="001270CD" w:rsidRDefault="008B72AE" w:rsidP="00446A66">
      <w:r w:rsidRPr="001270CD">
        <w:rPr>
          <w:b/>
          <w:bCs/>
        </w:rPr>
        <w:t>Principales conclusions :</w:t>
      </w:r>
      <w:r w:rsidRPr="001270CD">
        <w:t xml:space="preserve"> Les employeurs ont recours à des systèmes virtuels et en ligne de gestion des demandes d'emploi auxquels les utilisateurs utilisant des technologies d'assistance peuvent ne pas avoir accès, et ils ne sont pas toujours conscients des obstacles à l'accessibilité qu'ils rencontrent eux-mêmes. </w:t>
      </w:r>
    </w:p>
    <w:p w14:paraId="3E065F16" w14:textId="77777777" w:rsidR="008B72AE" w:rsidRPr="001270CD" w:rsidRDefault="008B72AE" w:rsidP="00446A66">
      <w:r w:rsidRPr="001270CD">
        <w:rPr>
          <w:b/>
          <w:bCs/>
        </w:rPr>
        <w:t>Principales conclusions :</w:t>
      </w:r>
      <w:r w:rsidRPr="001270CD">
        <w:t xml:space="preserve">  Les personnes ayant une expérience vécue sont confrontées à la peur et à l'anxiété liées à la divulgation du handicap, à la discrimination directe et indirecte lors de l'entretien d'embauche et dans l'emploi, ainsi qu'à l'incertitude liée à la discrimination fondée sur le handicap, qui ont été mentionnées et documentées. Le manque d'accès aux possibilités d'expérience professionnelle crée des lacunes à long terme en matière d'emploi et de compétences, et </w:t>
      </w:r>
      <w:proofErr w:type="gramStart"/>
      <w:r w:rsidRPr="001270CD">
        <w:t>a</w:t>
      </w:r>
      <w:proofErr w:type="gramEnd"/>
      <w:r w:rsidRPr="001270CD">
        <w:t xml:space="preserve"> des répercussions sur la santé mentale. </w:t>
      </w:r>
    </w:p>
    <w:p w14:paraId="157AACCE" w14:textId="77777777" w:rsidR="008B72AE" w:rsidRPr="001270CD" w:rsidRDefault="008B72AE" w:rsidP="00446A66">
      <w:r w:rsidRPr="008A5A9F">
        <w:rPr>
          <w:b/>
          <w:bCs/>
        </w:rPr>
        <w:t>Principales conclusions :</w:t>
      </w:r>
      <w:r w:rsidRPr="001270CD">
        <w:t xml:space="preserve"> Les principaux obstacles restent les attitudes, l'accès à des aides opportunes sur le lieu de travail (technologies et appareils d'assistance), le transport et les changements sur le lieu de travail liés à l'acquisition de nouvelles infrastructures </w:t>
      </w:r>
      <w:r w:rsidRPr="001270CD">
        <w:lastRenderedPageBreak/>
        <w:t>numériques et l'accès à la formation appropriée pour le maintien en poste et la promotion.</w:t>
      </w:r>
    </w:p>
    <w:p w14:paraId="1E441E33" w14:textId="77777777" w:rsidR="008B72AE" w:rsidRPr="001270CD" w:rsidRDefault="008B72AE" w:rsidP="00446A66">
      <w:r w:rsidRPr="008A5A9F">
        <w:rPr>
          <w:b/>
          <w:bCs/>
        </w:rPr>
        <w:t>Principales conclusions :</w:t>
      </w:r>
      <w:r w:rsidRPr="001270CD">
        <w:t xml:space="preserve"> Les initiatives axées sur l'emploi aident les individus à acquérir une expérience professionnelle et à améliorer leurs compétences professionnelles.  </w:t>
      </w:r>
    </w:p>
    <w:p w14:paraId="36474951" w14:textId="77777777" w:rsidR="008B72AE" w:rsidRPr="001270CD" w:rsidRDefault="008B72AE" w:rsidP="00446A66">
      <w:r w:rsidRPr="008A5A9F">
        <w:rPr>
          <w:b/>
          <w:bCs/>
        </w:rPr>
        <w:t>Principales conclusions :</w:t>
      </w:r>
      <w:r w:rsidRPr="001270CD">
        <w:t xml:space="preserve"> Le leadership inclusif, en particulier à tous les niveaux de la direction, doit s'engager et continuer à fournir et à promouvoir le mentorat et les images de réussite des personnes handicapées au sein de leur organisation. </w:t>
      </w:r>
    </w:p>
    <w:p w14:paraId="67D48A81" w14:textId="77777777" w:rsidR="008B72AE" w:rsidRPr="001270CD" w:rsidRDefault="008B72AE" w:rsidP="00446A66">
      <w:pPr>
        <w:pStyle w:val="Heading2"/>
      </w:pPr>
      <w:bookmarkStart w:id="1" w:name="_Toc144449536"/>
      <w:r w:rsidRPr="001270CD">
        <w:t>Mots-clés</w:t>
      </w:r>
      <w:bookmarkEnd w:id="1"/>
    </w:p>
    <w:p w14:paraId="5FD26E26" w14:textId="77777777" w:rsidR="008B72AE" w:rsidRDefault="008B72AE" w:rsidP="00446A66">
      <w:r w:rsidRPr="001270CD">
        <w:t xml:space="preserve">Emploi; conception universelle; handicap; déficiences sensorielles; Canada </w:t>
      </w:r>
    </w:p>
    <w:p w14:paraId="611A5430" w14:textId="77777777" w:rsidR="0066187E" w:rsidRPr="001270CD" w:rsidRDefault="0066187E" w:rsidP="0066187E">
      <w:r w:rsidRPr="00142333">
        <w:rPr>
          <w:b/>
          <w:bCs/>
        </w:rPr>
        <w:t xml:space="preserve">Autre titre : </w:t>
      </w:r>
      <w:r w:rsidRPr="002A10A3">
        <w:t>Élaboration d’un cadre de conception universelle pour les normes d’emploi au Canada fondé sur des preuves</w:t>
      </w:r>
      <w:r>
        <w:t xml:space="preserve"> </w:t>
      </w:r>
      <w:r w:rsidRPr="001270CD">
        <w:t>Résumé </w:t>
      </w:r>
    </w:p>
    <w:p w14:paraId="4A1CA3A8" w14:textId="77777777" w:rsidR="0066187E" w:rsidRPr="001270CD" w:rsidRDefault="0066187E" w:rsidP="0066187E">
      <w:pPr>
        <w:pStyle w:val="Heading2"/>
      </w:pPr>
      <w:r w:rsidRPr="001270CD">
        <w:t>Équipe de rédaction :  </w:t>
      </w:r>
    </w:p>
    <w:p w14:paraId="47BF454A" w14:textId="77777777" w:rsidR="0066187E" w:rsidRPr="001270CD" w:rsidRDefault="0066187E" w:rsidP="0066187E">
      <w:r w:rsidRPr="001270CD">
        <w:t xml:space="preserve">Mahadeo Sukhai, Michael Trolio, Michaela Knot, Markku </w:t>
      </w:r>
      <w:proofErr w:type="spellStart"/>
      <w:r w:rsidRPr="001270CD">
        <w:t>Lameman</w:t>
      </w:r>
      <w:proofErr w:type="spellEnd"/>
      <w:r w:rsidRPr="001270CD">
        <w:t>, INCA Recherche </w:t>
      </w:r>
    </w:p>
    <w:p w14:paraId="0FD1F8E2" w14:textId="77777777" w:rsidR="0066187E" w:rsidRPr="001270CD" w:rsidRDefault="0066187E" w:rsidP="0066187E">
      <w:pPr>
        <w:pStyle w:val="Heading2"/>
      </w:pPr>
      <w:r w:rsidRPr="001270CD">
        <w:lastRenderedPageBreak/>
        <w:t>Coauteurs :  </w:t>
      </w:r>
    </w:p>
    <w:p w14:paraId="0545B725" w14:textId="77777777" w:rsidR="0066187E" w:rsidRPr="001270CD" w:rsidRDefault="0066187E" w:rsidP="0066187E">
      <w:r w:rsidRPr="001270CD">
        <w:t xml:space="preserve">Markku Laamanen, Ainsley Latour, Andrew Livingston, </w:t>
      </w:r>
      <w:proofErr w:type="spellStart"/>
      <w:r w:rsidRPr="001270CD">
        <w:t>Ewostise</w:t>
      </w:r>
      <w:proofErr w:type="spellEnd"/>
      <w:r w:rsidRPr="001270CD">
        <w:t xml:space="preserve"> </w:t>
      </w:r>
      <w:proofErr w:type="spellStart"/>
      <w:r w:rsidRPr="001270CD">
        <w:t>Emiko</w:t>
      </w:r>
      <w:proofErr w:type="spellEnd"/>
      <w:r w:rsidRPr="001270CD">
        <w:t xml:space="preserve">, Erin Lee, Ashley Shaw, Victoria Lee, Alexa Dallaire, Ahsan Zaman, Michael Trolio, Opneet Sandhu, Walter Wittich, Ben </w:t>
      </w:r>
      <w:proofErr w:type="spellStart"/>
      <w:r w:rsidRPr="001270CD">
        <w:t>Mortenson</w:t>
      </w:r>
      <w:proofErr w:type="spellEnd"/>
      <w:r w:rsidRPr="001270CD">
        <w:t xml:space="preserve">, Mary Ann </w:t>
      </w:r>
      <w:proofErr w:type="spellStart"/>
      <w:r w:rsidRPr="001270CD">
        <w:t>McColl</w:t>
      </w:r>
      <w:proofErr w:type="spellEnd"/>
      <w:r w:rsidRPr="001270CD">
        <w:t xml:space="preserve">, </w:t>
      </w:r>
      <w:proofErr w:type="spellStart"/>
      <w:r w:rsidRPr="001270CD">
        <w:t>Tishiban</w:t>
      </w:r>
      <w:proofErr w:type="spellEnd"/>
      <w:r w:rsidRPr="001270CD">
        <w:t xml:space="preserve"> </w:t>
      </w:r>
      <w:proofErr w:type="spellStart"/>
      <w:r w:rsidRPr="001270CD">
        <w:t>Arunagiri</w:t>
      </w:r>
      <w:proofErr w:type="spellEnd"/>
      <w:r w:rsidRPr="001270CD">
        <w:t xml:space="preserve">, Artin </w:t>
      </w:r>
      <w:proofErr w:type="spellStart"/>
      <w:r w:rsidRPr="001270CD">
        <w:t>Arshekian</w:t>
      </w:r>
      <w:proofErr w:type="spellEnd"/>
      <w:r w:rsidRPr="001270CD">
        <w:t xml:space="preserve">, </w:t>
      </w:r>
      <w:proofErr w:type="spellStart"/>
      <w:r w:rsidRPr="001270CD">
        <w:t>Nezer</w:t>
      </w:r>
      <w:proofErr w:type="spellEnd"/>
      <w:r w:rsidRPr="001270CD">
        <w:t xml:space="preserve"> </w:t>
      </w:r>
      <w:proofErr w:type="spellStart"/>
      <w:r w:rsidRPr="001270CD">
        <w:t>Markwei</w:t>
      </w:r>
      <w:proofErr w:type="spellEnd"/>
      <w:r w:rsidRPr="001270CD">
        <w:t xml:space="preserve">, Daniel Carr, </w:t>
      </w:r>
      <w:proofErr w:type="spellStart"/>
      <w:r w:rsidRPr="001270CD">
        <w:t>Arkiti</w:t>
      </w:r>
      <w:proofErr w:type="spellEnd"/>
      <w:r w:rsidRPr="001270CD">
        <w:t xml:space="preserve"> Pandey, Peter Gardiner-Harding, Bianca de </w:t>
      </w:r>
      <w:proofErr w:type="spellStart"/>
      <w:r w:rsidRPr="001270CD">
        <w:t>Alwais</w:t>
      </w:r>
      <w:proofErr w:type="spellEnd"/>
      <w:r w:rsidRPr="001270CD">
        <w:t xml:space="preserve">, </w:t>
      </w:r>
      <w:proofErr w:type="spellStart"/>
      <w:r w:rsidRPr="001270CD">
        <w:t>Ayehsa</w:t>
      </w:r>
      <w:proofErr w:type="spellEnd"/>
      <w:r w:rsidRPr="001270CD">
        <w:t xml:space="preserve"> Quadri, </w:t>
      </w:r>
      <w:proofErr w:type="spellStart"/>
      <w:r w:rsidRPr="001270CD">
        <w:t>Opneet</w:t>
      </w:r>
      <w:proofErr w:type="spellEnd"/>
      <w:r w:rsidRPr="001270CD">
        <w:t xml:space="preserve"> Sandhu, Beth A. Robertson, </w:t>
      </w:r>
      <w:proofErr w:type="spellStart"/>
      <w:r w:rsidRPr="001270CD">
        <w:t>Nimi</w:t>
      </w:r>
      <w:proofErr w:type="spellEnd"/>
      <w:r w:rsidRPr="001270CD">
        <w:t xml:space="preserve"> </w:t>
      </w:r>
      <w:proofErr w:type="spellStart"/>
      <w:r w:rsidRPr="001270CD">
        <w:t>Pukulakatt</w:t>
      </w:r>
      <w:proofErr w:type="spellEnd"/>
      <w:r w:rsidRPr="001270CD">
        <w:t xml:space="preserve">, Maria </w:t>
      </w:r>
      <w:proofErr w:type="spellStart"/>
      <w:r w:rsidRPr="001270CD">
        <w:t>Giammarco</w:t>
      </w:r>
      <w:proofErr w:type="spellEnd"/>
      <w:r w:rsidRPr="001270CD">
        <w:t xml:space="preserve"> et Matthew McKean.  </w:t>
      </w:r>
    </w:p>
    <w:p w14:paraId="5E8FAD07" w14:textId="77777777" w:rsidR="0066187E" w:rsidRPr="001270CD" w:rsidRDefault="0066187E" w:rsidP="0066187E">
      <w:r w:rsidRPr="00B87896">
        <w:rPr>
          <w:rStyle w:val="Strong"/>
        </w:rPr>
        <w:t xml:space="preserve">Date d'entrée en vigueur : </w:t>
      </w:r>
      <w:r w:rsidRPr="001270CD">
        <w:t>30 avril 2023 </w:t>
      </w:r>
    </w:p>
    <w:p w14:paraId="66297FD7" w14:textId="77777777" w:rsidR="0066187E" w:rsidRPr="001270CD" w:rsidRDefault="0066187E" w:rsidP="00446A66"/>
    <w:p w14:paraId="6365FF82" w14:textId="77777777" w:rsidR="00E03058" w:rsidRPr="008B72AE" w:rsidRDefault="00E03058" w:rsidP="00446A66"/>
    <w:p w14:paraId="5F08F036" w14:textId="77777777" w:rsidR="00E03058" w:rsidRPr="008B72AE" w:rsidRDefault="00E03058" w:rsidP="00446A66"/>
    <w:p w14:paraId="58E486F0" w14:textId="77777777" w:rsidR="00E03058" w:rsidRPr="008B72AE" w:rsidRDefault="00E03058" w:rsidP="00446A66"/>
    <w:p w14:paraId="36B80664" w14:textId="77777777" w:rsidR="00E03058" w:rsidRPr="008B72AE" w:rsidRDefault="00E03058" w:rsidP="00446A66"/>
    <w:p w14:paraId="5EC2A6A0" w14:textId="77777777" w:rsidR="00E03058" w:rsidRPr="008B72AE" w:rsidRDefault="00E03058" w:rsidP="00446A66"/>
    <w:p w14:paraId="66073E3A" w14:textId="77777777" w:rsidR="00E03058" w:rsidRPr="008B72AE" w:rsidRDefault="00E03058" w:rsidP="00446A66"/>
    <w:p w14:paraId="5C4D7CCC" w14:textId="77777777" w:rsidR="00E03058" w:rsidRPr="008B72AE" w:rsidRDefault="00E03058" w:rsidP="00446A66"/>
    <w:p w14:paraId="1DCB307C" w14:textId="77777777" w:rsidR="00E03058" w:rsidRPr="008B72AE" w:rsidRDefault="00E03058" w:rsidP="00446A66"/>
    <w:p w14:paraId="11BAC780" w14:textId="77777777" w:rsidR="00E03058" w:rsidRPr="008B72AE" w:rsidRDefault="00E03058" w:rsidP="00446A66"/>
    <w:p w14:paraId="7BF79664" w14:textId="77777777" w:rsidR="00E03058" w:rsidRPr="008B72AE" w:rsidRDefault="00E03058" w:rsidP="00446A66"/>
    <w:p w14:paraId="267192BC" w14:textId="77777777" w:rsidR="00E03058" w:rsidRPr="008B72AE" w:rsidRDefault="00E03058" w:rsidP="00446A66"/>
    <w:p w14:paraId="05C4810A" w14:textId="77777777" w:rsidR="00E03058" w:rsidRPr="008B72AE" w:rsidRDefault="00E03058" w:rsidP="00446A66"/>
    <w:p w14:paraId="619A3324" w14:textId="77777777" w:rsidR="00E03058" w:rsidRPr="008B72AE" w:rsidRDefault="00E03058" w:rsidP="00446A66"/>
    <w:p w14:paraId="2CA69B14" w14:textId="77777777" w:rsidR="00E03058" w:rsidRPr="008B72AE" w:rsidRDefault="00E03058" w:rsidP="00446A66"/>
    <w:p w14:paraId="7D6CEF4E" w14:textId="77777777" w:rsidR="00E03058" w:rsidRPr="008B72AE" w:rsidRDefault="00E03058" w:rsidP="00446A66"/>
    <w:p w14:paraId="56144CCB" w14:textId="77777777" w:rsidR="00E03058" w:rsidRPr="008B72AE" w:rsidRDefault="00E03058" w:rsidP="00446A66"/>
    <w:p w14:paraId="2AF17701" w14:textId="77777777" w:rsidR="00E03058" w:rsidRPr="008B72AE" w:rsidRDefault="00E03058" w:rsidP="00446A66"/>
    <w:p w14:paraId="1F454DD6" w14:textId="77777777" w:rsidR="00E03058" w:rsidRPr="008B72AE" w:rsidRDefault="00E03058" w:rsidP="00446A66"/>
    <w:p w14:paraId="4C76FDE2" w14:textId="77777777" w:rsidR="00E03058" w:rsidRPr="008B72AE" w:rsidRDefault="00E03058" w:rsidP="00446A66"/>
    <w:p w14:paraId="0F4CB1F1" w14:textId="77777777" w:rsidR="00E03058" w:rsidRPr="008B72AE" w:rsidRDefault="00E03058" w:rsidP="00446A66"/>
    <w:p w14:paraId="6D1B140C" w14:textId="77777777" w:rsidR="00E03058" w:rsidRPr="008B72AE" w:rsidRDefault="00E03058" w:rsidP="00446A66"/>
    <w:p w14:paraId="334A733C" w14:textId="77777777" w:rsidR="00E03058" w:rsidRPr="008B72AE" w:rsidRDefault="00E03058" w:rsidP="00446A66"/>
    <w:p w14:paraId="36996493" w14:textId="77777777" w:rsidR="00E03058" w:rsidRPr="008B72AE" w:rsidRDefault="00E03058" w:rsidP="00446A66"/>
    <w:p w14:paraId="596EEB1B" w14:textId="77777777" w:rsidR="00E03058" w:rsidRPr="008B72AE" w:rsidRDefault="00E03058" w:rsidP="00446A66"/>
    <w:p w14:paraId="63917DD4" w14:textId="77777777" w:rsidR="00E03058" w:rsidRPr="008B72AE" w:rsidRDefault="00E03058" w:rsidP="00446A66"/>
    <w:p w14:paraId="749FFF9D" w14:textId="77777777" w:rsidR="00E03058" w:rsidRPr="008B72AE" w:rsidRDefault="00E03058" w:rsidP="00446A66"/>
    <w:p w14:paraId="51939646" w14:textId="77777777" w:rsidR="00E82462" w:rsidRPr="008B72AE" w:rsidRDefault="00E82462" w:rsidP="00446A66"/>
    <w:p w14:paraId="58A42C82" w14:textId="77777777" w:rsidR="00E82462" w:rsidRPr="008B72AE" w:rsidRDefault="00E82462" w:rsidP="00446A66"/>
    <w:p w14:paraId="67E51BC5" w14:textId="77777777" w:rsidR="00E82462" w:rsidRPr="008B72AE" w:rsidRDefault="00E82462" w:rsidP="00446A66"/>
    <w:p w14:paraId="258522BE" w14:textId="77777777" w:rsidR="00E82462" w:rsidRPr="008B72AE" w:rsidRDefault="00E82462" w:rsidP="00446A66"/>
    <w:p w14:paraId="34809FB0" w14:textId="77777777" w:rsidR="00E82462" w:rsidRPr="008B72AE" w:rsidRDefault="00E82462" w:rsidP="00446A66"/>
    <w:p w14:paraId="1A06B28E" w14:textId="77777777" w:rsidR="00E82462" w:rsidRPr="008B72AE" w:rsidRDefault="00E82462" w:rsidP="00446A66"/>
    <w:p w14:paraId="311E5F6F" w14:textId="77777777" w:rsidR="00E82462" w:rsidRPr="008B72AE" w:rsidRDefault="00E82462" w:rsidP="00446A66"/>
    <w:p w14:paraId="301EE31C" w14:textId="77777777" w:rsidR="00E82462" w:rsidRPr="008B72AE" w:rsidRDefault="00E82462" w:rsidP="00446A66"/>
    <w:p w14:paraId="66549002" w14:textId="77777777" w:rsidR="00E82462" w:rsidRPr="008B72AE" w:rsidRDefault="00E82462" w:rsidP="00446A66"/>
    <w:p w14:paraId="1B7B90BE" w14:textId="77777777" w:rsidR="00E82462" w:rsidRPr="008B72AE" w:rsidRDefault="00E82462" w:rsidP="00446A66"/>
    <w:p w14:paraId="5712DC94" w14:textId="77777777" w:rsidR="00E82462" w:rsidRPr="008B72AE" w:rsidRDefault="00E82462" w:rsidP="00446A66"/>
    <w:p w14:paraId="1AC8B476" w14:textId="77777777" w:rsidR="00E82462" w:rsidRPr="008B72AE" w:rsidRDefault="00E82462" w:rsidP="00446A66"/>
    <w:p w14:paraId="7BD2057A" w14:textId="77777777" w:rsidR="00E82462" w:rsidRPr="008B72AE" w:rsidRDefault="00E82462" w:rsidP="00446A66"/>
    <w:p w14:paraId="1A96FD80" w14:textId="77777777" w:rsidR="00E82462" w:rsidRPr="008B72AE" w:rsidRDefault="00E82462" w:rsidP="00446A66"/>
    <w:p w14:paraId="4CDED1DD" w14:textId="77777777" w:rsidR="00E82462" w:rsidRPr="008B72AE" w:rsidRDefault="00E82462" w:rsidP="00446A66"/>
    <w:p w14:paraId="1877A6EE" w14:textId="77777777" w:rsidR="00E82462" w:rsidRPr="008B72AE" w:rsidRDefault="00E82462" w:rsidP="00446A66"/>
    <w:p w14:paraId="0E4990C9" w14:textId="77777777" w:rsidR="00E82462" w:rsidRPr="008B72AE" w:rsidRDefault="00E82462" w:rsidP="00446A66"/>
    <w:p w14:paraId="4E39794C" w14:textId="77777777" w:rsidR="00E82462" w:rsidRPr="008B72AE" w:rsidRDefault="00E82462" w:rsidP="00446A66"/>
    <w:p w14:paraId="2C3E59A6" w14:textId="77777777" w:rsidR="00E82462" w:rsidRPr="008B72AE" w:rsidRDefault="00E82462" w:rsidP="00446A66"/>
    <w:p w14:paraId="3BFABC66" w14:textId="77777777" w:rsidR="00E82462" w:rsidRPr="008B72AE" w:rsidRDefault="00E82462" w:rsidP="00446A66"/>
    <w:p w14:paraId="1B3C8BEF" w14:textId="77777777" w:rsidR="00E82462" w:rsidRPr="008B72AE" w:rsidRDefault="00E82462" w:rsidP="00446A66"/>
    <w:p w14:paraId="7AE2A259" w14:textId="77777777" w:rsidR="00E82462" w:rsidRPr="008B72AE" w:rsidRDefault="00E82462" w:rsidP="00446A66"/>
    <w:p w14:paraId="04DCEDBB" w14:textId="77777777" w:rsidR="00E82462" w:rsidRPr="008B72AE" w:rsidRDefault="00E82462" w:rsidP="00446A66"/>
    <w:p w14:paraId="4539E764" w14:textId="77777777" w:rsidR="00E82462" w:rsidRPr="008B72AE" w:rsidRDefault="00E82462" w:rsidP="00446A66"/>
    <w:p w14:paraId="0AF22968" w14:textId="77777777" w:rsidR="00E82462" w:rsidRPr="008B72AE" w:rsidRDefault="00E82462" w:rsidP="00446A66"/>
    <w:p w14:paraId="1E750D55" w14:textId="77777777" w:rsidR="00E82462" w:rsidRPr="008B72AE" w:rsidRDefault="00E82462" w:rsidP="00446A66"/>
    <w:p w14:paraId="43AEA041" w14:textId="77777777" w:rsidR="00E82462" w:rsidRPr="008B72AE" w:rsidRDefault="00E82462" w:rsidP="00446A66"/>
    <w:sectPr w:rsidR="00E82462" w:rsidRPr="008B72AE" w:rsidSect="00A840FC">
      <w:headerReference w:type="even" r:id="rId9"/>
      <w:headerReference w:type="default" r:id="rId10"/>
      <w:footerReference w:type="even" r:id="rId11"/>
      <w:footerReference w:type="default" r:id="rId12"/>
      <w:headerReference w:type="first" r:id="rId13"/>
      <w:footerReference w:type="first" r:id="rId14"/>
      <w:pgSz w:w="12240" w:h="15840"/>
      <w:pgMar w:top="1440" w:right="540" w:bottom="144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1BEA" w14:textId="77777777" w:rsidR="00C41009" w:rsidRDefault="00C41009" w:rsidP="00446A66">
      <w:r>
        <w:separator/>
      </w:r>
    </w:p>
  </w:endnote>
  <w:endnote w:type="continuationSeparator" w:id="0">
    <w:p w14:paraId="268D8D76" w14:textId="77777777" w:rsidR="00C41009" w:rsidRDefault="00C41009" w:rsidP="00446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7479260"/>
      <w:docPartObj>
        <w:docPartGallery w:val="Page Numbers (Bottom of Page)"/>
        <w:docPartUnique/>
      </w:docPartObj>
    </w:sdtPr>
    <w:sdtContent>
      <w:p w14:paraId="1C1B2D66" w14:textId="54C6A017" w:rsidR="00187692" w:rsidRDefault="00187692" w:rsidP="00446A66">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04A234" w14:textId="77777777" w:rsidR="00187692" w:rsidRDefault="00187692" w:rsidP="00446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8612025"/>
      <w:docPartObj>
        <w:docPartGallery w:val="Page Numbers (Bottom of Page)"/>
        <w:docPartUnique/>
      </w:docPartObj>
    </w:sdtPr>
    <w:sdtContent>
      <w:p w14:paraId="36F6C13D" w14:textId="77777777" w:rsidR="0037492A" w:rsidRDefault="0037492A" w:rsidP="00446A66">
        <w:pPr>
          <w:pStyle w:val="Footer"/>
          <w:rPr>
            <w:rStyle w:val="PageNumber"/>
          </w:rPr>
        </w:pPr>
      </w:p>
      <w:p w14:paraId="266DDBD8" w14:textId="7759469C" w:rsidR="00446A66" w:rsidRDefault="00446A66" w:rsidP="00446A66">
        <w:pPr>
          <w:pStyle w:val="Footer"/>
          <w:rPr>
            <w:rStyle w:val="PageNumber"/>
          </w:rPr>
        </w:pPr>
        <w:r>
          <w:rPr>
            <w:rStyle w:val="PageNumber"/>
          </w:rPr>
          <w:t xml:space="preserve">Ce </w:t>
        </w:r>
        <w:proofErr w:type="spellStart"/>
        <w:r>
          <w:rPr>
            <w:rStyle w:val="PageNumber"/>
          </w:rPr>
          <w:t>projét</w:t>
        </w:r>
        <w:proofErr w:type="spellEnd"/>
        <w:r>
          <w:rPr>
            <w:rStyle w:val="PageNumber"/>
          </w:rPr>
          <w:t xml:space="preserve"> a été rendu grâce à :</w:t>
        </w:r>
      </w:p>
      <w:p w14:paraId="4CAB0EB9" w14:textId="152FDF7A" w:rsidR="00F630F4" w:rsidRPr="00446A66" w:rsidRDefault="0037492A" w:rsidP="0037492A">
        <w:pPr>
          <w:pStyle w:val="Footer"/>
        </w:pPr>
        <w:r w:rsidRPr="0037492A">
          <w:rPr>
            <w:rStyle w:val="PageNumber"/>
          </w:rPr>
          <w:drawing>
            <wp:inline distT="0" distB="0" distL="0" distR="0" wp14:anchorId="68A81ADC" wp14:editId="141B5359">
              <wp:extent cx="6178868" cy="749339"/>
              <wp:effectExtent l="0" t="0" r="0" b="0"/>
              <wp:docPr id="58062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24964" name=""/>
                      <pic:cNvPicPr/>
                    </pic:nvPicPr>
                    <pic:blipFill>
                      <a:blip r:embed="rId1"/>
                      <a:stretch>
                        <a:fillRect/>
                      </a:stretch>
                    </pic:blipFill>
                    <pic:spPr>
                      <a:xfrm>
                        <a:off x="0" y="0"/>
                        <a:ext cx="6178868" cy="749339"/>
                      </a:xfrm>
                      <a:prstGeom prst="rect">
                        <a:avLst/>
                      </a:prstGeom>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2C81" w14:textId="77777777" w:rsidR="0037492A" w:rsidRDefault="00374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E1B05" w14:textId="77777777" w:rsidR="00C41009" w:rsidRDefault="00C41009" w:rsidP="00446A66">
      <w:r>
        <w:separator/>
      </w:r>
    </w:p>
  </w:footnote>
  <w:footnote w:type="continuationSeparator" w:id="0">
    <w:p w14:paraId="0BBCA8C5" w14:textId="77777777" w:rsidR="00C41009" w:rsidRDefault="00C41009" w:rsidP="00446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E664" w14:textId="77777777" w:rsidR="0037492A" w:rsidRDefault="00374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D88B" w14:textId="17C0041F" w:rsidR="005D260D" w:rsidRDefault="00446A66" w:rsidP="00446A66">
    <w:pPr>
      <w:pStyle w:val="Header"/>
    </w:pPr>
    <w:r>
      <w:rPr>
        <w:noProof/>
      </w:rPr>
      <w:drawing>
        <wp:inline distT="0" distB="0" distL="0" distR="0" wp14:anchorId="3C6AE9BC" wp14:editId="6F19630B">
          <wp:extent cx="6972300" cy="1209888"/>
          <wp:effectExtent l="0" t="0" r="0" b="0"/>
          <wp:docPr id="413786515" name="Picture 413786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ument Template_Brush_Foundation_Bilingual.jpg"/>
                  <pic:cNvPicPr/>
                </pic:nvPicPr>
                <pic:blipFill>
                  <a:blip r:embed="rId1">
                    <a:extLst>
                      <a:ext uri="{28A0092B-C50C-407E-A947-70E740481C1C}">
                        <a14:useLocalDpi xmlns:a14="http://schemas.microsoft.com/office/drawing/2010/main" val="0"/>
                      </a:ext>
                    </a:extLst>
                  </a:blip>
                  <a:stretch>
                    <a:fillRect/>
                  </a:stretch>
                </pic:blipFill>
                <pic:spPr>
                  <a:xfrm>
                    <a:off x="0" y="0"/>
                    <a:ext cx="6972300" cy="12098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FB19" w14:textId="77777777" w:rsidR="00865A9B" w:rsidRDefault="00865A9B" w:rsidP="00446A66">
    <w:pPr>
      <w:pStyle w:val="Header"/>
    </w:pPr>
    <w:r>
      <w:rPr>
        <w:noProof/>
      </w:rPr>
      <w:drawing>
        <wp:inline distT="0" distB="0" distL="0" distR="0" wp14:anchorId="163AAFA9" wp14:editId="64719513">
          <wp:extent cx="7095744" cy="123130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ument Template_Brush_Foundation_Bilingual.jpg"/>
                  <pic:cNvPicPr/>
                </pic:nvPicPr>
                <pic:blipFill>
                  <a:blip r:embed="rId1">
                    <a:extLst>
                      <a:ext uri="{28A0092B-C50C-407E-A947-70E740481C1C}">
                        <a14:useLocalDpi xmlns:a14="http://schemas.microsoft.com/office/drawing/2010/main" val="0"/>
                      </a:ext>
                    </a:extLst>
                  </a:blip>
                  <a:stretch>
                    <a:fillRect/>
                  </a:stretch>
                </pic:blipFill>
                <pic:spPr>
                  <a:xfrm>
                    <a:off x="0" y="0"/>
                    <a:ext cx="7095744" cy="123130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D5649"/>
    <w:rsid w:val="00142333"/>
    <w:rsid w:val="00187692"/>
    <w:rsid w:val="001B1F99"/>
    <w:rsid w:val="002A10A3"/>
    <w:rsid w:val="0037492A"/>
    <w:rsid w:val="00383B5E"/>
    <w:rsid w:val="003C4DD3"/>
    <w:rsid w:val="00412C8E"/>
    <w:rsid w:val="004366C0"/>
    <w:rsid w:val="00446A66"/>
    <w:rsid w:val="00451A18"/>
    <w:rsid w:val="004B5E45"/>
    <w:rsid w:val="0055051B"/>
    <w:rsid w:val="00566B61"/>
    <w:rsid w:val="005A6311"/>
    <w:rsid w:val="005D260D"/>
    <w:rsid w:val="006049C1"/>
    <w:rsid w:val="00644DAB"/>
    <w:rsid w:val="0066187E"/>
    <w:rsid w:val="006C47CA"/>
    <w:rsid w:val="007468CA"/>
    <w:rsid w:val="0075183F"/>
    <w:rsid w:val="00865A9B"/>
    <w:rsid w:val="00877541"/>
    <w:rsid w:val="008A5361"/>
    <w:rsid w:val="008B72AE"/>
    <w:rsid w:val="00964393"/>
    <w:rsid w:val="009A2972"/>
    <w:rsid w:val="00A840FC"/>
    <w:rsid w:val="00B21E05"/>
    <w:rsid w:val="00B87896"/>
    <w:rsid w:val="00BE2C2A"/>
    <w:rsid w:val="00C123D5"/>
    <w:rsid w:val="00C41009"/>
    <w:rsid w:val="00D0087A"/>
    <w:rsid w:val="00D678C8"/>
    <w:rsid w:val="00D82120"/>
    <w:rsid w:val="00DD2518"/>
    <w:rsid w:val="00E03058"/>
    <w:rsid w:val="00E32058"/>
    <w:rsid w:val="00E82462"/>
    <w:rsid w:val="00EC52D2"/>
    <w:rsid w:val="00F216B3"/>
    <w:rsid w:val="00F34C77"/>
    <w:rsid w:val="00F630F4"/>
    <w:rsid w:val="00F874FD"/>
    <w:rsid w:val="00FD2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ECF1F"/>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A66"/>
    <w:pPr>
      <w:spacing w:line="360" w:lineRule="auto"/>
      <w:ind w:left="567"/>
    </w:pPr>
    <w:rPr>
      <w:rFonts w:ascii="Verdana" w:hAnsi="Verdana"/>
      <w:sz w:val="28"/>
      <w:lang w:val="fr-CA"/>
    </w:rPr>
  </w:style>
  <w:style w:type="paragraph" w:styleId="Heading1">
    <w:name w:val="heading 1"/>
    <w:basedOn w:val="Normal"/>
    <w:next w:val="Normal"/>
    <w:link w:val="Heading1Char"/>
    <w:uiPriority w:val="9"/>
    <w:qFormat/>
    <w:rsid w:val="008B72AE"/>
    <w:pPr>
      <w:keepNext/>
      <w:keepLines/>
      <w:spacing w:after="0" w:line="480" w:lineRule="auto"/>
      <w:outlineLvl w:val="0"/>
    </w:pPr>
    <w:rPr>
      <w:rFonts w:eastAsiaTheme="majorEastAsia" w:cstheme="majorBidi"/>
      <w:b/>
      <w:i/>
      <w:sz w:val="40"/>
      <w:szCs w:val="32"/>
    </w:rPr>
  </w:style>
  <w:style w:type="paragraph" w:styleId="Heading2">
    <w:name w:val="heading 2"/>
    <w:basedOn w:val="Normal"/>
    <w:next w:val="Normal"/>
    <w:link w:val="Heading2Char"/>
    <w:autoRedefine/>
    <w:uiPriority w:val="9"/>
    <w:unhideWhenUsed/>
    <w:qFormat/>
    <w:rsid w:val="008B72AE"/>
    <w:pPr>
      <w:keepNext/>
      <w:keepLines/>
      <w:spacing w:after="0" w:line="480" w:lineRule="auto"/>
      <w:outlineLvl w:val="1"/>
    </w:pPr>
    <w:rPr>
      <w:rFonts w:eastAsiaTheme="majorEastAsia" w:cs="Segoe UI"/>
      <w:b/>
      <w:i/>
      <w:sz w:val="36"/>
      <w:szCs w:val="40"/>
    </w:rPr>
  </w:style>
  <w:style w:type="paragraph" w:styleId="Heading3">
    <w:name w:val="heading 3"/>
    <w:basedOn w:val="Normal"/>
    <w:next w:val="Normal"/>
    <w:link w:val="Heading3Char"/>
    <w:uiPriority w:val="9"/>
    <w:unhideWhenUsed/>
    <w:qFormat/>
    <w:rsid w:val="002A10A3"/>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character" w:customStyle="1" w:styleId="Heading1Char">
    <w:name w:val="Heading 1 Char"/>
    <w:basedOn w:val="DefaultParagraphFont"/>
    <w:link w:val="Heading1"/>
    <w:uiPriority w:val="9"/>
    <w:rsid w:val="008B72AE"/>
    <w:rPr>
      <w:rFonts w:ascii="Verdana" w:eastAsiaTheme="majorEastAsia" w:hAnsi="Verdana" w:cstheme="majorBidi"/>
      <w:b/>
      <w:i/>
      <w:sz w:val="40"/>
      <w:szCs w:val="32"/>
    </w:rPr>
  </w:style>
  <w:style w:type="character" w:customStyle="1" w:styleId="Heading2Char">
    <w:name w:val="Heading 2 Char"/>
    <w:basedOn w:val="DefaultParagraphFont"/>
    <w:link w:val="Heading2"/>
    <w:uiPriority w:val="9"/>
    <w:rsid w:val="008B72AE"/>
    <w:rPr>
      <w:rFonts w:ascii="Verdana" w:eastAsiaTheme="majorEastAsia" w:hAnsi="Verdana" w:cs="Segoe UI"/>
      <w:b/>
      <w:i/>
      <w:sz w:val="36"/>
      <w:szCs w:val="40"/>
      <w:lang w:val="fr-CA"/>
    </w:rPr>
  </w:style>
  <w:style w:type="character" w:customStyle="1" w:styleId="Heading3Char">
    <w:name w:val="Heading 3 Char"/>
    <w:basedOn w:val="DefaultParagraphFont"/>
    <w:link w:val="Heading3"/>
    <w:uiPriority w:val="9"/>
    <w:rsid w:val="002A10A3"/>
    <w:rPr>
      <w:rFonts w:asciiTheme="majorHAnsi" w:eastAsiaTheme="majorEastAsia" w:hAnsiTheme="majorHAnsi" w:cstheme="majorBidi"/>
      <w:color w:val="243F60" w:themeColor="accent1" w:themeShade="7F"/>
      <w:sz w:val="24"/>
      <w:szCs w:val="24"/>
    </w:rPr>
  </w:style>
  <w:style w:type="character" w:styleId="PageNumber">
    <w:name w:val="page number"/>
    <w:basedOn w:val="DefaultParagraphFont"/>
    <w:uiPriority w:val="99"/>
    <w:semiHidden/>
    <w:unhideWhenUsed/>
    <w:rsid w:val="00187692"/>
  </w:style>
  <w:style w:type="character" w:styleId="Strong">
    <w:name w:val="Strong"/>
    <w:basedOn w:val="DefaultParagraphFont"/>
    <w:uiPriority w:val="22"/>
    <w:qFormat/>
    <w:rsid w:val="00B878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2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TaxCatchAll xmlns="885ee9d2-83be-4fb3-ab1a-16a638b500cc" xsi:nil="true"/>
    <lcf76f155ced4ddcb4097134ff3c332f xmlns="c657a06b-7b0e-4411-9e07-ce8d471ada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22" ma:contentTypeDescription="Create a new document." ma:contentTypeScope="" ma:versionID="f563de4241f38189e3622d2ce1e7478e">
  <xsd:schema xmlns:xsd="http://www.w3.org/2001/XMLSchema" xmlns:xs="http://www.w3.org/2001/XMLSchema" xmlns:p="http://schemas.microsoft.com/office/2006/metadata/properties" xmlns:ns2="c657a06b-7b0e-4411-9e07-ce8d471ada44" xmlns:ns3="dd4445f9-a84f-4acf-84b7-40fb6d99f4fb" xmlns:ns4="885ee9d2-83be-4fb3-ab1a-16a638b500cc" targetNamespace="http://schemas.microsoft.com/office/2006/metadata/properties" ma:root="true" ma:fieldsID="97e3265f273a1c72f88638e52908c30f" ns2:_="" ns3:_="" ns4:_="">
    <xsd:import namespace="c657a06b-7b0e-4411-9e07-ce8d471ada44"/>
    <xsd:import namespace="dd4445f9-a84f-4acf-84b7-40fb6d99f4fb"/>
    <xsd:import namespace="885ee9d2-83be-4fb3-ab1a-16a638b500cc"/>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ee9d2-83be-4fb3-ab1a-16a638b500c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bb3be13-d592-43cb-bc4c-19ce0498b793}" ma:internalName="TaxCatchAll" ma:showField="CatchAllData" ma:web="885ee9d2-83be-4fb3-ab1a-16a638b50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C4DED-DFA0-4880-B306-B62D5EFD857B}">
  <ds:schemaRefs>
    <ds:schemaRef ds:uri="http://schemas.microsoft.com/office/2006/metadata/properties"/>
    <ds:schemaRef ds:uri="http://schemas.microsoft.com/office/infopath/2007/PartnerControls"/>
    <ds:schemaRef ds:uri="c657a06b-7b0e-4411-9e07-ce8d471ada44"/>
    <ds:schemaRef ds:uri="885ee9d2-83be-4fb3-ab1a-16a638b500cc"/>
  </ds:schemaRefs>
</ds:datastoreItem>
</file>

<file path=customXml/itemProps2.xml><?xml version="1.0" encoding="utf-8"?>
<ds:datastoreItem xmlns:ds="http://schemas.openxmlformats.org/officeDocument/2006/customXml" ds:itemID="{4AED8B8E-227B-4D6A-B588-1DD4B2593553}">
  <ds:schemaRefs>
    <ds:schemaRef ds:uri="http://schemas.microsoft.com/sharepoint/v3/contenttype/forms"/>
  </ds:schemaRefs>
</ds:datastoreItem>
</file>

<file path=customXml/itemProps3.xml><?xml version="1.0" encoding="utf-8"?>
<ds:datastoreItem xmlns:ds="http://schemas.openxmlformats.org/officeDocument/2006/customXml" ds:itemID="{AF7F5A22-9465-41FA-AA2A-B2EE0F87E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885ee9d2-83be-4fb3-ab1a-16a638b50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John Lalley</cp:lastModifiedBy>
  <cp:revision>9</cp:revision>
  <dcterms:created xsi:type="dcterms:W3CDTF">2025-06-05T17:30:00Z</dcterms:created>
  <dcterms:modified xsi:type="dcterms:W3CDTF">2025-10-10T18:15:00Z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600</vt:r8>
  </property>
</Properties>
</file>