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24448" w14:textId="650D7479" w:rsidR="00033BF4" w:rsidRPr="00E34E46" w:rsidRDefault="00C7345D" w:rsidP="00177C86">
      <w:pPr>
        <w:ind w:firstLine="0"/>
      </w:pPr>
      <w:bookmarkStart w:id="0" w:name="_Toc210828470"/>
      <w:bookmarkStart w:id="1" w:name="_Toc224836468"/>
      <w:bookmarkStart w:id="2" w:name="_Toc224836696"/>
      <w:r w:rsidRPr="00E34E46">
        <w:rPr>
          <w:rStyle w:val="Heading1Char"/>
        </w:rPr>
        <w:t>Modèle de chaîne d’approvisionnement et de passation de marchés accessible et inclusif : rapport de recherche</w:t>
      </w:r>
      <w:bookmarkEnd w:id="0"/>
      <w:bookmarkEnd w:id="1"/>
      <w:bookmarkEnd w:id="2"/>
      <w:r w:rsidRPr="00E34E46">
        <w:rPr>
          <w:noProof/>
        </w:rPr>
        <w:drawing>
          <wp:inline distT="0" distB="0" distL="0" distR="0" wp14:anchorId="3130998C" wp14:editId="2665D23D">
            <wp:extent cx="5943600" cy="5943600"/>
            <wp:effectExtent l="0" t="0" r="0" b="0"/>
            <wp:docPr id="1990745054" name="Picture 1" descr="Disability symbol is centred with a web of networked connections to many other different points, representing n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45054" name="Picture 1" descr="Disability symbol is centred with a web of networked connections to many other different points, representing nodes. "/>
                    <pic:cNvPicPr/>
                  </pic:nvPicPr>
                  <pic:blipFill>
                    <a:blip r:embed="rId8"/>
                    <a:stretch>
                      <a:fillRect/>
                    </a:stretch>
                  </pic:blipFill>
                  <pic:spPr>
                    <a:xfrm>
                      <a:off x="0" y="0"/>
                      <a:ext cx="5943600" cy="5943600"/>
                    </a:xfrm>
                    <a:prstGeom prst="rect">
                      <a:avLst/>
                    </a:prstGeom>
                  </pic:spPr>
                </pic:pic>
              </a:graphicData>
            </a:graphic>
          </wp:inline>
        </w:drawing>
      </w:r>
    </w:p>
    <w:p w14:paraId="33E7897C" w14:textId="2B335685" w:rsidR="00FF5303" w:rsidRPr="00E34E46" w:rsidRDefault="00A22B2C" w:rsidP="00B56537">
      <w:r w:rsidRPr="00E34E46">
        <w:t>Recherche d’INCA</w:t>
      </w:r>
    </w:p>
    <w:p w14:paraId="4FC59AB6" w14:textId="7F56F3A1" w:rsidR="000A4F27" w:rsidRPr="00E34E46" w:rsidRDefault="000F3392" w:rsidP="00B56537">
      <w:r w:rsidRPr="00E34E46">
        <w:t>20 décembre 2024</w:t>
      </w:r>
    </w:p>
    <w:p w14:paraId="18B8E82A" w14:textId="3C2B81A1" w:rsidR="00033BF4" w:rsidRPr="00E34E46" w:rsidRDefault="00033BF4" w:rsidP="00B56537">
      <w:pPr>
        <w:sectPr w:rsidR="00033BF4" w:rsidRPr="00E34E46" w:rsidSect="00D84D2C">
          <w:headerReference w:type="default" r:id="rId9"/>
          <w:footerReference w:type="default" r:id="rId10"/>
          <w:pgSz w:w="12240" w:h="15840"/>
          <w:pgMar w:top="990" w:right="720" w:bottom="360" w:left="992" w:header="709" w:footer="317" w:gutter="0"/>
          <w:cols w:space="708"/>
          <w:titlePg/>
          <w:docGrid w:linePitch="360"/>
        </w:sectPr>
      </w:pPr>
    </w:p>
    <w:p w14:paraId="09495C12" w14:textId="34FB003B" w:rsidR="00425733" w:rsidRPr="00E34E46" w:rsidRDefault="003B1D19" w:rsidP="00425733">
      <w:pPr>
        <w:pStyle w:val="Heading2"/>
      </w:pPr>
      <w:bookmarkStart w:id="3" w:name="_Toc224836469"/>
      <w:bookmarkStart w:id="4" w:name="_Toc224836697"/>
      <w:r w:rsidRPr="00E34E46">
        <w:lastRenderedPageBreak/>
        <w:t>Texte préliminaire</w:t>
      </w:r>
      <w:bookmarkEnd w:id="3"/>
      <w:bookmarkEnd w:id="4"/>
    </w:p>
    <w:p w14:paraId="02FA58CF" w14:textId="77777777" w:rsidR="00046ECC" w:rsidRPr="00E34E46" w:rsidRDefault="00046ECC" w:rsidP="00046ECC">
      <w:pPr>
        <w:pStyle w:val="Heading3"/>
      </w:pPr>
      <w:bookmarkStart w:id="5" w:name="_Toc210828472"/>
      <w:bookmarkStart w:id="6" w:name="_Toc210828474"/>
      <w:r w:rsidRPr="00E34E46">
        <w:t>Rédacteurs et affiliations</w:t>
      </w:r>
      <w:bookmarkEnd w:id="5"/>
    </w:p>
    <w:p w14:paraId="592DBDB6" w14:textId="77777777" w:rsidR="00046ECC" w:rsidRPr="00E34E46" w:rsidRDefault="00046ECC" w:rsidP="00046ECC">
      <w:pPr>
        <w:pStyle w:val="APABibliography"/>
      </w:pPr>
      <w:r w:rsidRPr="00E34E46">
        <w:t>Sheetal Kochhar, Recherche d’INCA, Institut national canadien pour les aveugles</w:t>
      </w:r>
    </w:p>
    <w:p w14:paraId="4AD3D805" w14:textId="77777777" w:rsidR="00046ECC" w:rsidRPr="00E34E46" w:rsidRDefault="00046ECC" w:rsidP="00046ECC">
      <w:pPr>
        <w:pStyle w:val="APABibliography"/>
      </w:pPr>
      <w:r w:rsidRPr="00E34E46">
        <w:t xml:space="preserve">Andrew Livingston, </w:t>
      </w:r>
      <w:proofErr w:type="spellStart"/>
      <w:r w:rsidRPr="00E34E46">
        <w:t>Dexterity</w:t>
      </w:r>
      <w:proofErr w:type="spellEnd"/>
      <w:r w:rsidRPr="00E34E46">
        <w:t xml:space="preserve"> Consulting</w:t>
      </w:r>
    </w:p>
    <w:p w14:paraId="343DD451" w14:textId="7EA881CA" w:rsidR="00693B26" w:rsidRPr="00E34E46" w:rsidRDefault="00046ECC" w:rsidP="00693B26">
      <w:pPr>
        <w:pStyle w:val="Heading3"/>
      </w:pPr>
      <w:r w:rsidRPr="00E34E46">
        <w:t>Traduction</w:t>
      </w:r>
    </w:p>
    <w:p w14:paraId="007D283C" w14:textId="78D698F3" w:rsidR="00AF1F50" w:rsidRPr="00E34E46" w:rsidRDefault="00A828A3" w:rsidP="00946066">
      <w:r w:rsidRPr="00E34E46">
        <w:t>Services linguistiques externes et Équipe interne</w:t>
      </w:r>
    </w:p>
    <w:p w14:paraId="4200D28F" w14:textId="77777777" w:rsidR="00046ECC" w:rsidRPr="00E34E46" w:rsidRDefault="00046ECC" w:rsidP="00046ECC">
      <w:r w:rsidRPr="00E34E46">
        <w:rPr>
          <w:b/>
        </w:rPr>
        <w:t>N</w:t>
      </w:r>
      <w:r w:rsidRPr="00E34E46">
        <w:rPr>
          <w:b/>
          <w:vertAlign w:val="superscript"/>
        </w:rPr>
        <w:t>o</w:t>
      </w:r>
      <w:r w:rsidRPr="00E34E46">
        <w:rPr>
          <w:b/>
        </w:rPr>
        <w:t xml:space="preserve"> de subvention :</w:t>
      </w:r>
      <w:r w:rsidRPr="00E34E46">
        <w:t xml:space="preserve"> ASC-21/22-003-01-C</w:t>
      </w:r>
    </w:p>
    <w:p w14:paraId="349A8593" w14:textId="77777777" w:rsidR="00046ECC" w:rsidRPr="00E34E46" w:rsidRDefault="00046ECC" w:rsidP="00046ECC">
      <w:r w:rsidRPr="00E34E46">
        <w:t>Financé par Normes d’accessibilité Canada/gouvernement du Canada</w:t>
      </w:r>
    </w:p>
    <w:p w14:paraId="27033923" w14:textId="77777777" w:rsidR="00046ECC" w:rsidRPr="00E34E46" w:rsidRDefault="00046ECC" w:rsidP="00046ECC">
      <w:r w:rsidRPr="00E34E46">
        <w:rPr>
          <w:b/>
        </w:rPr>
        <w:t xml:space="preserve">Date: </w:t>
      </w:r>
      <w:r w:rsidRPr="00E34E46">
        <w:t>20 décembre 2024</w:t>
      </w:r>
    </w:p>
    <w:p w14:paraId="41B3BA4C" w14:textId="77777777" w:rsidR="00046ECC" w:rsidRPr="00E34E46" w:rsidRDefault="00046ECC" w:rsidP="00046ECC">
      <w:pPr>
        <w:rPr>
          <w:b/>
          <w:bCs/>
        </w:rPr>
      </w:pPr>
      <w:r w:rsidRPr="00E34E46">
        <w:t>Pour plus d’information : info@cnib.ca</w:t>
      </w:r>
    </w:p>
    <w:p w14:paraId="26FED37F" w14:textId="77777777" w:rsidR="00046ECC" w:rsidRPr="00E34E46" w:rsidRDefault="00046ECC" w:rsidP="00046ECC">
      <w:r w:rsidRPr="00E34E46">
        <w:br w:type="page"/>
      </w:r>
    </w:p>
    <w:p w14:paraId="31EC556F" w14:textId="77777777" w:rsidR="00425733" w:rsidRPr="00E34E46" w:rsidRDefault="00425733" w:rsidP="00425733">
      <w:pPr>
        <w:pStyle w:val="Heading3"/>
      </w:pPr>
      <w:r w:rsidRPr="00E34E46">
        <w:lastRenderedPageBreak/>
        <w:t>Remerciements</w:t>
      </w:r>
      <w:bookmarkEnd w:id="6"/>
    </w:p>
    <w:p w14:paraId="52964BA1" w14:textId="77777777" w:rsidR="00425733" w:rsidRPr="00E34E46" w:rsidRDefault="00425733" w:rsidP="00425733">
      <w:r w:rsidRPr="00E34E46">
        <w:t>Nous voulons exprimer notre profonde gratitude à toutes ces généreuses personnes qui nous ont donné de leur temps et nous ont fait part de leurs points de vue pendant la période de l’étude. Nous sommes particulièrement reconnaissants envers les professionnels qui nous ont communiqué leur savoir et qui ont contribué à la recherche. Nous remercions également les nombreuses personnes qui nous ont fourni de la précieuse rétroaction ainsi que des orientations utiles.</w:t>
      </w:r>
    </w:p>
    <w:p w14:paraId="6AE04431" w14:textId="77777777" w:rsidR="00425733" w:rsidRPr="00E34E46" w:rsidRDefault="00425733" w:rsidP="00425733">
      <w:pPr>
        <w:rPr>
          <w:rFonts w:eastAsia="Lato"/>
        </w:rPr>
      </w:pPr>
      <w:r w:rsidRPr="00E34E46">
        <w:t xml:space="preserve">Nous sommes très reconnaissants à l’égard des membres de l’équipe de BDO Max Brault, Ian Brennan, Melissa Stockton, Mandi Crespo et Emily Chiazza d’avoir partagé leurs connaissances et leur expertise. </w:t>
      </w:r>
    </w:p>
    <w:p w14:paraId="38A4EA70" w14:textId="77777777" w:rsidR="00425733" w:rsidRPr="00E34E46" w:rsidRDefault="00425733" w:rsidP="00425733">
      <w:pPr>
        <w:rPr>
          <w:rFonts w:eastAsia="Lato"/>
        </w:rPr>
      </w:pPr>
      <w:r w:rsidRPr="00E34E46">
        <w:t xml:space="preserve">Nous voulons aussi remercier nos étudiants – Laura-Inoue Chung de l’Université de Toronto, ainsi que Luan Nguyen, Christ N’Guessan, Taimoor Sohail et Evan Vella de l’Institut universitaire de technologie de l’Ontario – pour leurs précieuses contributions dans ce projet. </w:t>
      </w:r>
    </w:p>
    <w:p w14:paraId="29C28E0D" w14:textId="77777777" w:rsidR="00425733" w:rsidRPr="00E34E46" w:rsidRDefault="00425733" w:rsidP="00425733">
      <w:pPr>
        <w:rPr>
          <w:rFonts w:eastAsia="Lato"/>
        </w:rPr>
      </w:pPr>
      <w:r w:rsidRPr="00E34E46">
        <w:t xml:space="preserve">Enfin, un merci tout spécial à l’équipe de recherche d’INCA, qui a soutenu les activités de mise en page et de mise en forme et assuré </w:t>
      </w:r>
      <w:r w:rsidRPr="00E34E46">
        <w:lastRenderedPageBreak/>
        <w:t>l’accessibilité et l’inclusivité du document. Merci à Michaela Knot pour ses conseils en matière de recherche tout au long des différents projets et des évaluations et modifications des manuscrits. Nos sincères remerciements à Akriti Pandey, Ahsan Zaman, Lauren Pardy, Mahadeo Sukhai, Michael Trolio, Yvon Chen et Samantha Matala pour leurs contributions.</w:t>
      </w:r>
    </w:p>
    <w:p w14:paraId="27D04784" w14:textId="77777777" w:rsidR="00425733" w:rsidRPr="00E34E46" w:rsidRDefault="00425733" w:rsidP="00425733">
      <w:r w:rsidRPr="00E34E46">
        <w:t>Enfin, nous remercions l’ensemble des participants au projet et des personnes interrogées dans le cadre de celui-ci pour avoir partagé leur temps, leur dévouement et leur enthousiasme pour le sujet. Votre participation a rendu ce travail possible et a façonné le paysage de la recherche sur l’approvisionnement accessible au Canada.</w:t>
      </w:r>
    </w:p>
    <w:p w14:paraId="7C544EAB" w14:textId="77777777" w:rsidR="00425733" w:rsidRPr="00E34E46" w:rsidRDefault="00425733" w:rsidP="00425733">
      <w:pPr>
        <w:rPr>
          <w:rFonts w:cstheme="majorBidi"/>
          <w:sz w:val="36"/>
          <w:szCs w:val="36"/>
        </w:rPr>
      </w:pPr>
      <w:r w:rsidRPr="00E34E46">
        <w:br w:type="page"/>
      </w:r>
    </w:p>
    <w:p w14:paraId="48F1198B" w14:textId="1FBBC2B3" w:rsidR="005F6D2D" w:rsidRPr="00E34E46" w:rsidRDefault="005F6D2D" w:rsidP="005F6D2D">
      <w:pPr>
        <w:pStyle w:val="Heading3"/>
      </w:pPr>
      <w:bookmarkStart w:id="7" w:name="_Toc168722493"/>
      <w:bookmarkStart w:id="8" w:name="_Toc210828475"/>
      <w:r w:rsidRPr="00E34E46">
        <w:lastRenderedPageBreak/>
        <w:t xml:space="preserve">Liste des </w:t>
      </w:r>
      <w:bookmarkEnd w:id="7"/>
      <w:r w:rsidRPr="00E34E46">
        <w:t>collaborateurs</w:t>
      </w:r>
      <w:bookmarkEnd w:id="8"/>
    </w:p>
    <w:p w14:paraId="646DCEA6" w14:textId="77777777" w:rsidR="005F6D2D" w:rsidRPr="00E34E46" w:rsidRDefault="005F6D2D" w:rsidP="005F6D2D">
      <w:pPr>
        <w:pStyle w:val="Heading4"/>
      </w:pPr>
      <w:bookmarkStart w:id="9" w:name="_Toc168722494"/>
      <w:bookmarkStart w:id="10" w:name="_Toc210828476"/>
      <w:r w:rsidRPr="00E34E46">
        <w:t>Institutions scolaires</w:t>
      </w:r>
      <w:bookmarkEnd w:id="9"/>
      <w:bookmarkEnd w:id="10"/>
    </w:p>
    <w:p w14:paraId="639D9862" w14:textId="77777777" w:rsidR="005F6D2D" w:rsidRPr="00E34E46" w:rsidRDefault="005F6D2D" w:rsidP="005F6D2D">
      <w:pPr>
        <w:pStyle w:val="ListParagraph"/>
        <w:numPr>
          <w:ilvl w:val="0"/>
          <w:numId w:val="1"/>
        </w:numPr>
      </w:pPr>
      <w:r w:rsidRPr="00E34E46">
        <w:t>Centre de recherche sur les politiques en matière d’invalidité professionnelle</w:t>
      </w:r>
    </w:p>
    <w:p w14:paraId="2FEBDEE4" w14:textId="77777777" w:rsidR="005F6D2D" w:rsidRPr="00E34E46" w:rsidRDefault="005F6D2D" w:rsidP="005F6D2D">
      <w:pPr>
        <w:pStyle w:val="ListParagraph"/>
        <w:numPr>
          <w:ilvl w:val="0"/>
          <w:numId w:val="1"/>
        </w:numPr>
      </w:pPr>
      <w:r w:rsidRPr="00E34E46">
        <w:t>Centre de recherche sur la conception inclusive, Université de l’École d’art et de design de l’Ontario, Toronto (Ontario)</w:t>
      </w:r>
    </w:p>
    <w:p w14:paraId="06D28AE7" w14:textId="77777777" w:rsidR="005F6D2D" w:rsidRPr="00E34E46" w:rsidRDefault="005F6D2D" w:rsidP="005F6D2D">
      <w:pPr>
        <w:pStyle w:val="ListParagraph"/>
        <w:numPr>
          <w:ilvl w:val="0"/>
          <w:numId w:val="1"/>
        </w:numPr>
      </w:pPr>
      <w:r w:rsidRPr="00E34E46">
        <w:t xml:space="preserve">Institut universitaire de technologie de l’Ontario (Ontario Tech </w:t>
      </w:r>
      <w:proofErr w:type="spellStart"/>
      <w:r w:rsidRPr="00E34E46">
        <w:t>University</w:t>
      </w:r>
      <w:proofErr w:type="spellEnd"/>
      <w:r w:rsidRPr="00E34E46">
        <w:t>), Oshawa (Ontario)</w:t>
      </w:r>
    </w:p>
    <w:p w14:paraId="56276AA0" w14:textId="77777777" w:rsidR="005F6D2D" w:rsidRPr="00E34E46" w:rsidRDefault="005F6D2D" w:rsidP="005F6D2D">
      <w:pPr>
        <w:pStyle w:val="ListParagraph"/>
        <w:numPr>
          <w:ilvl w:val="0"/>
          <w:numId w:val="1"/>
        </w:numPr>
      </w:pPr>
      <w:r w:rsidRPr="00E34E46">
        <w:t>Université de Toronto, Toronto (Ontario)</w:t>
      </w:r>
    </w:p>
    <w:p w14:paraId="41326A7F" w14:textId="77777777" w:rsidR="005F6D2D" w:rsidRPr="00E34E46" w:rsidRDefault="005F6D2D" w:rsidP="005F6D2D">
      <w:pPr>
        <w:pStyle w:val="Heading4"/>
      </w:pPr>
      <w:bookmarkStart w:id="11" w:name="_Toc168722495"/>
      <w:bookmarkStart w:id="12" w:name="_Toc210828477"/>
      <w:r w:rsidRPr="00E34E46">
        <w:t>Partenaires industriels</w:t>
      </w:r>
      <w:bookmarkEnd w:id="11"/>
      <w:bookmarkEnd w:id="12"/>
    </w:p>
    <w:p w14:paraId="462C52F8" w14:textId="77777777" w:rsidR="005F6D2D" w:rsidRPr="00E34E46" w:rsidRDefault="005F6D2D" w:rsidP="005F6D2D">
      <w:pPr>
        <w:pStyle w:val="ListParagraph"/>
        <w:numPr>
          <w:ilvl w:val="0"/>
          <w:numId w:val="1"/>
        </w:numPr>
      </w:pPr>
      <w:r w:rsidRPr="00E34E46">
        <w:t>Table ronde des affaires + de l’enseignement supérieur (TRAES)</w:t>
      </w:r>
    </w:p>
    <w:p w14:paraId="2D77BCDA" w14:textId="77777777" w:rsidR="005F6D2D" w:rsidRPr="00E34E46" w:rsidRDefault="005F6D2D" w:rsidP="005F6D2D">
      <w:pPr>
        <w:pStyle w:val="ListParagraph"/>
        <w:numPr>
          <w:ilvl w:val="0"/>
          <w:numId w:val="1"/>
        </w:numPr>
      </w:pPr>
      <w:r w:rsidRPr="00E34E46">
        <w:t>Groupe de l’Association canadienne de normalisation (CSA)</w:t>
      </w:r>
    </w:p>
    <w:p w14:paraId="6594B8FB" w14:textId="77777777" w:rsidR="005F6D2D" w:rsidRPr="00E34E46" w:rsidRDefault="005F6D2D" w:rsidP="005F6D2D">
      <w:pPr>
        <w:pStyle w:val="ListParagraph"/>
        <w:numPr>
          <w:ilvl w:val="0"/>
          <w:numId w:val="1"/>
        </w:numPr>
      </w:pPr>
      <w:r w:rsidRPr="00E34E46">
        <w:t>La Marche des dix sous</w:t>
      </w:r>
    </w:p>
    <w:p w14:paraId="15896175" w14:textId="29F2E268" w:rsidR="005F6D2D" w:rsidRPr="00E34E46" w:rsidRDefault="00253185" w:rsidP="005F6D2D">
      <w:pPr>
        <w:pStyle w:val="Heading4"/>
      </w:pPr>
      <w:bookmarkStart w:id="13" w:name="_Toc210828478"/>
      <w:r w:rsidRPr="00E34E46">
        <w:t>Autres contributeurs individuels</w:t>
      </w:r>
      <w:bookmarkEnd w:id="13"/>
    </w:p>
    <w:p w14:paraId="4688315E" w14:textId="77777777" w:rsidR="005F6D2D" w:rsidRPr="00E34E46" w:rsidRDefault="005F6D2D" w:rsidP="005F6D2D">
      <w:pPr>
        <w:contextualSpacing/>
        <w:rPr>
          <w:rFonts w:eastAsia="Lato"/>
        </w:rPr>
      </w:pPr>
      <w:r w:rsidRPr="00E34E46">
        <w:t>Maria Giammarco, responsable principale, R et D, TRAES</w:t>
      </w:r>
    </w:p>
    <w:p w14:paraId="71DAD08B" w14:textId="77777777" w:rsidR="005F6D2D" w:rsidRPr="00E34E46" w:rsidRDefault="005F6D2D" w:rsidP="005F6D2D">
      <w:pPr>
        <w:contextualSpacing/>
        <w:rPr>
          <w:rFonts w:eastAsia="Lato"/>
        </w:rPr>
      </w:pPr>
      <w:r w:rsidRPr="00E34E46">
        <w:lastRenderedPageBreak/>
        <w:t>Cynthia Kumah, associée, R et D, TRAES</w:t>
      </w:r>
    </w:p>
    <w:p w14:paraId="727F45D3" w14:textId="77777777" w:rsidR="005F6D2D" w:rsidRPr="00E34E46" w:rsidRDefault="005F6D2D" w:rsidP="005F6D2D">
      <w:pPr>
        <w:contextualSpacing/>
        <w:rPr>
          <w:rFonts w:eastAsia="Lato"/>
        </w:rPr>
      </w:pPr>
      <w:r w:rsidRPr="00E34E46">
        <w:t>Ankita Verma, associée, R et D, TRAES</w:t>
      </w:r>
    </w:p>
    <w:p w14:paraId="17A6AE0F" w14:textId="77777777" w:rsidR="005F6D2D" w:rsidRPr="00E34E46" w:rsidRDefault="005F6D2D" w:rsidP="005F6D2D">
      <w:pPr>
        <w:contextualSpacing/>
        <w:rPr>
          <w:rFonts w:eastAsia="Lato"/>
        </w:rPr>
      </w:pPr>
      <w:r w:rsidRPr="00E34E46">
        <w:t>Nouran El Atreby, associée subalterne, R et D, TRAES</w:t>
      </w:r>
    </w:p>
    <w:p w14:paraId="70703968" w14:textId="77777777" w:rsidR="005F6D2D" w:rsidRPr="00E34E46" w:rsidRDefault="005F6D2D" w:rsidP="005F6D2D">
      <w:pPr>
        <w:contextualSpacing/>
        <w:rPr>
          <w:rFonts w:eastAsia="Lato"/>
        </w:rPr>
      </w:pPr>
      <w:r w:rsidRPr="00E34E46">
        <w:t>Val Walker, PDG, TRAES</w:t>
      </w:r>
    </w:p>
    <w:p w14:paraId="1C574152" w14:textId="77777777" w:rsidR="005F6D2D" w:rsidRPr="00E34E46" w:rsidRDefault="005F6D2D" w:rsidP="005F6D2D">
      <w:pPr>
        <w:contextualSpacing/>
      </w:pPr>
      <w:r w:rsidRPr="00E34E46">
        <w:t>Matthew McKean, directeur, R et D, TRAES</w:t>
      </w:r>
      <w:r w:rsidRPr="00E34E46">
        <w:br w:type="page"/>
      </w:r>
    </w:p>
    <w:p w14:paraId="4F996692" w14:textId="77777777" w:rsidR="00425733" w:rsidRPr="00E34E46" w:rsidRDefault="00425733" w:rsidP="00425733">
      <w:pPr>
        <w:pStyle w:val="Heading3"/>
      </w:pPr>
      <w:bookmarkStart w:id="14" w:name="_Toc210828479"/>
      <w:r w:rsidRPr="00E34E46">
        <w:lastRenderedPageBreak/>
        <w:t>Déclaration sur les outils d’intelligence artificielle</w:t>
      </w:r>
      <w:bookmarkEnd w:id="14"/>
    </w:p>
    <w:p w14:paraId="4B00C941" w14:textId="77777777" w:rsidR="00425733" w:rsidRPr="00E34E46" w:rsidRDefault="00425733" w:rsidP="00425733">
      <w:r w:rsidRPr="00E34E46">
        <w:t xml:space="preserve">Microsoft </w:t>
      </w:r>
      <w:proofErr w:type="spellStart"/>
      <w:r w:rsidRPr="00E34E46">
        <w:t>Copilot</w:t>
      </w:r>
      <w:proofErr w:type="spellEnd"/>
      <w:r w:rsidRPr="00E34E46">
        <w:t xml:space="preserve"> a servi à générer l’image de la page couverture. </w:t>
      </w:r>
      <w:proofErr w:type="spellStart"/>
      <w:r w:rsidRPr="00E34E46">
        <w:t>Copilot</w:t>
      </w:r>
      <w:proofErr w:type="spellEnd"/>
      <w:r w:rsidRPr="00E34E46">
        <w:t xml:space="preserve"> a été utilisé pour faciliter la tâche de réviser et de résumer des articles publics. Des résumés d’articles ont été évalués pour en vérifier l’exactitude et l’interprétation. Toutes les images dans le texte et les annexes ont été produites par l’équipe. </w:t>
      </w:r>
    </w:p>
    <w:p w14:paraId="79D0C696" w14:textId="77777777" w:rsidR="005F6D2D" w:rsidRPr="00E34E46" w:rsidRDefault="005F6D2D" w:rsidP="005F6D2D">
      <w:pPr>
        <w:pStyle w:val="Heading3"/>
      </w:pPr>
      <w:bookmarkStart w:id="15" w:name="_Toc210828480"/>
      <w:r w:rsidRPr="00E34E46">
        <w:t>Description de l’image de la page couverture :</w:t>
      </w:r>
      <w:bookmarkEnd w:id="15"/>
      <w:r w:rsidRPr="00E34E46">
        <w:t xml:space="preserve"> </w:t>
      </w:r>
    </w:p>
    <w:p w14:paraId="595F55F6" w14:textId="096A7BF1" w:rsidR="005F6D2D" w:rsidRPr="00E34E46" w:rsidRDefault="005F6D2D" w:rsidP="005F6D2D">
      <w:r w:rsidRPr="00E34E46">
        <w:t xml:space="preserve">Un réseau d’une chaîne d’approvisionnement futuriste affichant des couleurs vives et mettant en lumière des situations de handicap. Image générée par l’IA </w:t>
      </w:r>
      <w:proofErr w:type="spellStart"/>
      <w:r w:rsidRPr="00E34E46">
        <w:t>Copilot</w:t>
      </w:r>
      <w:proofErr w:type="spellEnd"/>
      <w:r w:rsidRPr="00E34E46">
        <w:t>, licence d’entreprise Microsoft, 17 octobre 2024.</w:t>
      </w:r>
    </w:p>
    <w:p w14:paraId="3D8FE20B" w14:textId="77777777" w:rsidR="005F6D2D" w:rsidRPr="00E34E46" w:rsidRDefault="005F6D2D" w:rsidP="005F6D2D">
      <w:pPr>
        <w:pStyle w:val="Heading3"/>
      </w:pPr>
      <w:bookmarkStart w:id="16" w:name="_Toc210828481"/>
      <w:r w:rsidRPr="00E34E46">
        <w:t>Droits d’auteur et autorisations :</w:t>
      </w:r>
      <w:bookmarkEnd w:id="16"/>
      <w:r w:rsidRPr="00E34E46">
        <w:t xml:space="preserve"> </w:t>
      </w:r>
    </w:p>
    <w:p w14:paraId="488EBA0D" w14:textId="3CFD16D2" w:rsidR="00D1796E" w:rsidRPr="00E34E46" w:rsidRDefault="00D1796E" w:rsidP="00D1796E">
      <w:pPr>
        <w:rPr>
          <w:b/>
          <w:bCs/>
        </w:rPr>
      </w:pPr>
      <w:r w:rsidRPr="00E34E46">
        <w:rPr>
          <w:b/>
        </w:rPr>
        <w:t>ISBN :</w:t>
      </w:r>
    </w:p>
    <w:p w14:paraId="53DF88AD" w14:textId="62176659" w:rsidR="00B5246C" w:rsidRPr="00E34E46" w:rsidRDefault="005F6D2D" w:rsidP="005F6D2D">
      <w:r w:rsidRPr="00E34E46">
        <w:rPr>
          <w:b/>
        </w:rPr>
        <w:t>Citation :</w:t>
      </w:r>
      <w:r w:rsidRPr="00E34E46">
        <w:t xml:space="preserve"> Recherche d’INCA (2024). </w:t>
      </w:r>
      <w:r w:rsidRPr="00E34E46">
        <w:rPr>
          <w:i/>
        </w:rPr>
        <w:t xml:space="preserve">Modèle de chaîne d’approvisionnement et de passation de marchés accessible et inclusif : </w:t>
      </w:r>
      <w:r w:rsidRPr="00E34E46">
        <w:rPr>
          <w:i/>
        </w:rPr>
        <w:lastRenderedPageBreak/>
        <w:t xml:space="preserve">rapport de recherche sommaire. </w:t>
      </w:r>
      <w:r w:rsidRPr="00E34E46">
        <w:t xml:space="preserve">Institut national canadien pour les aveugles (« INCA »), Toronto (Ontario). </w:t>
      </w:r>
    </w:p>
    <w:p w14:paraId="36BE5147" w14:textId="77777777" w:rsidR="00B5246C" w:rsidRPr="00E34E46" w:rsidRDefault="00B5246C">
      <w:pPr>
        <w:spacing w:before="0" w:after="160" w:line="259" w:lineRule="auto"/>
        <w:ind w:firstLine="0"/>
        <w:textAlignment w:val="auto"/>
      </w:pPr>
      <w:r w:rsidRPr="00E34E46">
        <w:br w:type="page"/>
      </w:r>
    </w:p>
    <w:p w14:paraId="46EDEB90" w14:textId="77777777" w:rsidR="00046ECC" w:rsidRPr="00E34E46" w:rsidRDefault="00046ECC" w:rsidP="00046ECC">
      <w:pPr>
        <w:pStyle w:val="Heading2"/>
        <w:rPr>
          <w:color w:val="000000" w:themeColor="text1"/>
          <w:szCs w:val="26"/>
        </w:rPr>
      </w:pPr>
      <w:bookmarkStart w:id="17" w:name="_Toc168722496"/>
      <w:bookmarkStart w:id="18" w:name="_Toc224836470"/>
      <w:bookmarkStart w:id="19" w:name="_Toc224836698"/>
      <w:r w:rsidRPr="00E34E46">
        <w:lastRenderedPageBreak/>
        <w:t>Résumé : Modèle accessible et inclusif de la chaîne d’approvisionnement :</w:t>
      </w:r>
      <w:bookmarkEnd w:id="17"/>
      <w:bookmarkEnd w:id="18"/>
      <w:bookmarkEnd w:id="19"/>
    </w:p>
    <w:p w14:paraId="3072BD91" w14:textId="77777777" w:rsidR="00046ECC" w:rsidRPr="00E34E46" w:rsidRDefault="00046ECC" w:rsidP="00046ECC">
      <w:pPr>
        <w:pStyle w:val="Heading3"/>
      </w:pPr>
      <w:bookmarkStart w:id="20" w:name="_Toc168722497"/>
      <w:bookmarkStart w:id="21" w:name="_Toc210828486"/>
      <w:r w:rsidRPr="00E34E46">
        <w:t>Survo</w:t>
      </w:r>
      <w:bookmarkEnd w:id="20"/>
      <w:r w:rsidRPr="00E34E46">
        <w:t>l</w:t>
      </w:r>
      <w:bookmarkEnd w:id="21"/>
    </w:p>
    <w:p w14:paraId="3CDF3DBD" w14:textId="77777777" w:rsidR="00046ECC" w:rsidRPr="00E34E46" w:rsidRDefault="00046ECC" w:rsidP="00046ECC">
      <w:r w:rsidRPr="00E34E46">
        <w:t>Il manque sérieusement de renseignements sur l’approvisionnement accessible au Canada. L’expertise est souvent isolée ou repose sur la collaboration entre les experts en accessibilité et les spécialistes de l’approvisionnement. S’appuyant sur des données actuelles, ce rapport rassemble les points de vue de différentes parties prenantes sur l’approvisionnement accessible. D’autres obstacles ont été répertoriés pour les personnes en situation de handicap, en particulier lorsqu’elles cherchent à devenir des fournisseurs potentiels ou à être incluses dans des modèles de chaîne d’approvisionnement.</w:t>
      </w:r>
    </w:p>
    <w:p w14:paraId="5B50623C" w14:textId="77777777" w:rsidR="00046ECC" w:rsidRPr="00E34E46" w:rsidRDefault="00046ECC" w:rsidP="00046ECC">
      <w:r w:rsidRPr="00E34E46">
        <w:t xml:space="preserve">Les recommandations présentées dans ce rapport s’adressent aux particuliers et aux entreprises, qu’ils aient peu de connaissances ou des connaissances avancées en approvisionnement accessible. Nous démontrons également l’invisibilité du handicap dans les initiatives de diversité de la </w:t>
      </w:r>
      <w:r w:rsidRPr="00E34E46">
        <w:lastRenderedPageBreak/>
        <w:t>chaîne d’approvisionnement des secteurs public et privé. Bien que le gouvernement fédéral ait fourni les premières directives pour aborder l’accessibilité dans l’approvisionnement, nos recherches révèlent que l’expertise en matière de mise en œuvre de l’approvisionnement accessible est en émergence dans les secteurs publics municipaux et provinciaux ainsi que dans les établissements d’enseignement postsecondaire. Enfin, nous explorons les leçons tirées de l’approvisionnement accessible ainsi que des témoignages.</w:t>
      </w:r>
    </w:p>
    <w:p w14:paraId="35D58B30" w14:textId="77777777" w:rsidR="00046ECC" w:rsidRPr="00E34E46" w:rsidRDefault="00046ECC" w:rsidP="00046ECC">
      <w:pPr>
        <w:pStyle w:val="Heading3"/>
      </w:pPr>
      <w:bookmarkStart w:id="22" w:name="_Toc168722498"/>
      <w:bookmarkStart w:id="23" w:name="_Toc210828487"/>
      <w:r w:rsidRPr="00E34E46">
        <w:t>Recommandations thématiques</w:t>
      </w:r>
      <w:bookmarkEnd w:id="22"/>
      <w:bookmarkEnd w:id="23"/>
    </w:p>
    <w:p w14:paraId="5C497FC9" w14:textId="77777777" w:rsidR="00046ECC" w:rsidRPr="00E34E46" w:rsidRDefault="00046ECC" w:rsidP="00046ECC">
      <w:r w:rsidRPr="00E34E46">
        <w:t>Les organisations et autres entités devraient tenir compte des recommandations suivantes en matière d’approvisionnement accessible :</w:t>
      </w:r>
    </w:p>
    <w:p w14:paraId="0AB82993" w14:textId="77777777" w:rsidR="00046ECC" w:rsidRPr="00E34E46" w:rsidRDefault="00046ECC" w:rsidP="00046ECC">
      <w:pPr>
        <w:pStyle w:val="ListParagraph"/>
        <w:numPr>
          <w:ilvl w:val="0"/>
          <w:numId w:val="2"/>
        </w:numPr>
        <w:ind w:hanging="720"/>
      </w:pPr>
      <w:r w:rsidRPr="00E34E46">
        <w:t>Évaluer leur degré global de sensibilisation à l’accessibilité, leur niveau de connaissances et leurs engagements au sein de l’organisation ou de l’unité;</w:t>
      </w:r>
    </w:p>
    <w:p w14:paraId="561FA0ED" w14:textId="77777777" w:rsidR="00046ECC" w:rsidRPr="00E34E46" w:rsidRDefault="00046ECC" w:rsidP="00046ECC">
      <w:pPr>
        <w:pStyle w:val="ListParagraph"/>
        <w:numPr>
          <w:ilvl w:val="0"/>
          <w:numId w:val="2"/>
        </w:numPr>
        <w:ind w:hanging="720"/>
      </w:pPr>
      <w:r w:rsidRPr="00E34E46">
        <w:t>Comprendre, promouvoir et utiliser toutes les exigences de la législation actuelle et à venir en tant que norme minimale uniquement et chercher à dépasser les exigences législatives;</w:t>
      </w:r>
    </w:p>
    <w:p w14:paraId="166D8A9A" w14:textId="77777777" w:rsidR="00046ECC" w:rsidRPr="00E34E46" w:rsidRDefault="00046ECC" w:rsidP="00046ECC">
      <w:pPr>
        <w:pStyle w:val="ListParagraph"/>
        <w:numPr>
          <w:ilvl w:val="0"/>
          <w:numId w:val="2"/>
        </w:numPr>
        <w:ind w:hanging="720"/>
      </w:pPr>
      <w:r w:rsidRPr="00E34E46">
        <w:lastRenderedPageBreak/>
        <w:t>Promouvoir le leadership inclusif et le changement culturel de l’organisation en matière d’accessibilité afin d’intégrer l’approvisionnement accessible dans les pratiques organisationnelles;</w:t>
      </w:r>
    </w:p>
    <w:p w14:paraId="036AFC02" w14:textId="77777777" w:rsidR="00046ECC" w:rsidRPr="00E34E46" w:rsidRDefault="00046ECC" w:rsidP="00046ECC">
      <w:pPr>
        <w:pStyle w:val="ListParagraph"/>
        <w:numPr>
          <w:ilvl w:val="0"/>
          <w:numId w:val="2"/>
        </w:numPr>
        <w:ind w:hanging="720"/>
      </w:pPr>
      <w:r w:rsidRPr="00E34E46">
        <w:t>Envisager un approvisionnement accessible qui s’harmonise avec la planification stratégique future, la mission et les valeurs;</w:t>
      </w:r>
    </w:p>
    <w:p w14:paraId="3A5285D6" w14:textId="77777777" w:rsidR="00046ECC" w:rsidRPr="00E34E46" w:rsidRDefault="00046ECC" w:rsidP="00046ECC">
      <w:pPr>
        <w:pStyle w:val="ListParagraph"/>
        <w:numPr>
          <w:ilvl w:val="0"/>
          <w:numId w:val="2"/>
        </w:numPr>
        <w:ind w:hanging="720"/>
      </w:pPr>
      <w:r w:rsidRPr="00E34E46">
        <w:t>Développer les compétences interfonctionnelles internes en accessibilité, les connaissances, l’expertise et les ressources pour les professionnels et les équipes en approvisionnement; Fournir des ressources et du soutien pour un champion ou chef de l’approvisionnement accessible, qu’il soit désigné de manière officielle ou non;</w:t>
      </w:r>
    </w:p>
    <w:p w14:paraId="0AE5238F" w14:textId="77777777" w:rsidR="00046ECC" w:rsidRPr="00E34E46" w:rsidRDefault="00046ECC" w:rsidP="00046ECC">
      <w:pPr>
        <w:pStyle w:val="ListParagraph"/>
        <w:numPr>
          <w:ilvl w:val="0"/>
          <w:numId w:val="2"/>
        </w:numPr>
        <w:ind w:hanging="720"/>
      </w:pPr>
      <w:r w:rsidRPr="00E34E46">
        <w:t>Mettre en œuvre l’approvisionnement accessible dans le cycle de vie de l’approvisionnement de l’entreprise; Vérifier si vos documents et vos processus d’approvisionnement sont accessibles aux personnes en situation de handicap;</w:t>
      </w:r>
    </w:p>
    <w:p w14:paraId="1391DD00" w14:textId="77777777" w:rsidR="00046ECC" w:rsidRPr="00E34E46" w:rsidRDefault="00046ECC" w:rsidP="00046ECC">
      <w:pPr>
        <w:pStyle w:val="ListParagraph"/>
        <w:numPr>
          <w:ilvl w:val="0"/>
          <w:numId w:val="2"/>
        </w:numPr>
        <w:ind w:hanging="720"/>
      </w:pPr>
      <w:r w:rsidRPr="00E34E46">
        <w:t xml:space="preserve">Évaluer les initiatives actuelles en matière de diversité des fournisseurs, relever les lacunes et les disparités dans les groupes sous-représentés, et établir les relations nécessaires avec les </w:t>
      </w:r>
      <w:r w:rsidRPr="00E34E46">
        <w:lastRenderedPageBreak/>
        <w:t>communautés pour comprendre leur actuel état de préparation à l’approvisionnement;</w:t>
      </w:r>
    </w:p>
    <w:p w14:paraId="5DD7F761" w14:textId="77777777" w:rsidR="00046ECC" w:rsidRPr="00E34E46" w:rsidRDefault="00046ECC" w:rsidP="00046ECC">
      <w:pPr>
        <w:pStyle w:val="ListParagraph"/>
        <w:numPr>
          <w:ilvl w:val="0"/>
          <w:numId w:val="2"/>
        </w:numPr>
        <w:ind w:hanging="720"/>
      </w:pPr>
      <w:r w:rsidRPr="00E34E46">
        <w:t>Élaborer un cadre de responsabilité pour que les résultats de l’approvisionnement accessible soient suivis et évalués en harmonisation avec les attentes et les valeurs de la communauté locale et de la société;</w:t>
      </w:r>
    </w:p>
    <w:p w14:paraId="413A2EC9" w14:textId="77777777" w:rsidR="00046ECC" w:rsidRPr="00E34E46" w:rsidRDefault="00046ECC" w:rsidP="00046ECC">
      <w:pPr>
        <w:pStyle w:val="ListParagraph"/>
        <w:numPr>
          <w:ilvl w:val="0"/>
          <w:numId w:val="2"/>
        </w:numPr>
        <w:ind w:hanging="720"/>
      </w:pPr>
      <w:r w:rsidRPr="00E34E46">
        <w:t>Encourager les propriétaires d’entreprises dirigées par des personnes en situation de handicap et les entreprises sociales à se préparer à soumissionner et à envisager de s’inscrire comme fournisseurs potentiels;</w:t>
      </w:r>
    </w:p>
    <w:p w14:paraId="7021BA18" w14:textId="77777777" w:rsidR="00046ECC" w:rsidRPr="00E34E46" w:rsidRDefault="00046ECC" w:rsidP="00046ECC">
      <w:pPr>
        <w:pStyle w:val="ListParagraph"/>
        <w:numPr>
          <w:ilvl w:val="0"/>
          <w:numId w:val="2"/>
        </w:numPr>
        <w:ind w:hanging="720"/>
      </w:pPr>
      <w:r w:rsidRPr="00E34E46">
        <w:t>Soutenir la croissance, au Canada, des conseils, des associations et des réseaux d’affaires nationaux qui traiteront du handicap afin de favoriser l’établissement de liens entre les propriétaires d’entreprises dirigées par des personnes en situation de handicap.</w:t>
      </w:r>
    </w:p>
    <w:p w14:paraId="58ED2C32" w14:textId="77777777" w:rsidR="00046ECC" w:rsidRPr="00E34E46" w:rsidRDefault="00046ECC" w:rsidP="00046ECC">
      <w:pPr>
        <w:pStyle w:val="Heading3"/>
      </w:pPr>
      <w:bookmarkStart w:id="24" w:name="_Toc168722499"/>
      <w:bookmarkStart w:id="25" w:name="_Toc210828488"/>
      <w:r w:rsidRPr="00E34E46">
        <w:lastRenderedPageBreak/>
        <w:t>Mots-clés</w:t>
      </w:r>
      <w:bookmarkEnd w:id="24"/>
      <w:bookmarkEnd w:id="25"/>
    </w:p>
    <w:p w14:paraId="1DC54F36" w14:textId="77777777" w:rsidR="00046ECC" w:rsidRPr="00E34E46" w:rsidRDefault="00046ECC" w:rsidP="00046ECC">
      <w:r w:rsidRPr="00E34E46">
        <w:t>Approvisionnement accessible, Canada, diversité de la chaîne d’approvisionnement, personnes en situation de handicap, inclusion du handicap, approvisionnement public.</w:t>
      </w:r>
    </w:p>
    <w:p w14:paraId="357C8450" w14:textId="77777777" w:rsidR="00046ECC" w:rsidRPr="00E34E46" w:rsidRDefault="00046ECC" w:rsidP="00046ECC">
      <w:pPr>
        <w:rPr>
          <w:color w:val="000000" w:themeColor="text1"/>
          <w:sz w:val="36"/>
          <w:szCs w:val="26"/>
        </w:rPr>
      </w:pPr>
      <w:r w:rsidRPr="00E34E46">
        <w:br w:type="page"/>
      </w:r>
    </w:p>
    <w:p w14:paraId="3C494636" w14:textId="49E35137" w:rsidR="005F6D2D" w:rsidRPr="00E34E46" w:rsidRDefault="00B5246C" w:rsidP="00B5246C">
      <w:pPr>
        <w:pStyle w:val="Heading2"/>
      </w:pPr>
      <w:bookmarkStart w:id="26" w:name="_Toc224836471"/>
      <w:bookmarkStart w:id="27" w:name="_Toc224836699"/>
      <w:r w:rsidRPr="00E34E46">
        <w:lastRenderedPageBreak/>
        <w:t>Table des matières</w:t>
      </w:r>
      <w:bookmarkEnd w:id="26"/>
      <w:bookmarkEnd w:id="27"/>
    </w:p>
    <w:p w14:paraId="778398FB" w14:textId="01A33929" w:rsidR="00866494" w:rsidRPr="002D24F7" w:rsidRDefault="00866494" w:rsidP="003D6EA3">
      <w:pPr>
        <w:pStyle w:val="TOC1"/>
        <w:rPr>
          <w:rFonts w:eastAsiaTheme="minorEastAsia" w:cstheme="minorBidi"/>
          <w:noProof/>
          <w:kern w:val="2"/>
          <w:lang w:val="en-CA"/>
          <w14:ligatures w14:val="standardContextual"/>
        </w:rPr>
      </w:pPr>
      <w:r>
        <w:fldChar w:fldCharType="begin"/>
      </w:r>
      <w:r>
        <w:instrText xml:space="preserve"> TOC \o "1-2" \h \z \u </w:instrText>
      </w:r>
      <w:r>
        <w:fldChar w:fldCharType="separate"/>
      </w:r>
      <w:hyperlink w:anchor="_Toc224836697" w:history="1">
        <w:r w:rsidRPr="002D24F7">
          <w:rPr>
            <w:rStyle w:val="Hyperlink"/>
            <w:noProof/>
          </w:rPr>
          <w:t>Texte préliminaire</w:t>
        </w:r>
        <w:r w:rsidRPr="002D24F7">
          <w:rPr>
            <w:noProof/>
            <w:webHidden/>
          </w:rPr>
          <w:tab/>
        </w:r>
        <w:r w:rsidRPr="002D24F7">
          <w:rPr>
            <w:noProof/>
            <w:webHidden/>
          </w:rPr>
          <w:fldChar w:fldCharType="begin"/>
        </w:r>
        <w:r w:rsidRPr="002D24F7">
          <w:rPr>
            <w:noProof/>
            <w:webHidden/>
          </w:rPr>
          <w:instrText xml:space="preserve"> PAGEREF _Toc224836697 \h </w:instrText>
        </w:r>
        <w:r w:rsidRPr="002D24F7">
          <w:rPr>
            <w:noProof/>
            <w:webHidden/>
          </w:rPr>
        </w:r>
        <w:r w:rsidRPr="002D24F7">
          <w:rPr>
            <w:noProof/>
            <w:webHidden/>
          </w:rPr>
          <w:fldChar w:fldCharType="separate"/>
        </w:r>
        <w:r w:rsidRPr="002D24F7">
          <w:rPr>
            <w:noProof/>
            <w:webHidden/>
          </w:rPr>
          <w:t>2</w:t>
        </w:r>
        <w:r w:rsidRPr="002D24F7">
          <w:rPr>
            <w:noProof/>
            <w:webHidden/>
          </w:rPr>
          <w:fldChar w:fldCharType="end"/>
        </w:r>
      </w:hyperlink>
    </w:p>
    <w:p w14:paraId="0E90CB33" w14:textId="74DA161E"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698" w:history="1">
        <w:r w:rsidRPr="002D24F7">
          <w:rPr>
            <w:rStyle w:val="Hyperlink"/>
            <w:rFonts w:ascii="Verdana" w:hAnsi="Verdana"/>
            <w:noProof/>
          </w:rPr>
          <w:t>Résumé : Modèle accessible et inclusif de la chaîne d’approvisionnement :</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_Toc224836698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9</w:t>
        </w:r>
        <w:r w:rsidRPr="002D24F7">
          <w:rPr>
            <w:rFonts w:ascii="Verdana" w:hAnsi="Verdana"/>
            <w:noProof/>
            <w:webHidden/>
          </w:rPr>
          <w:fldChar w:fldCharType="end"/>
        </w:r>
      </w:hyperlink>
    </w:p>
    <w:p w14:paraId="63D01A4C" w14:textId="34CA9FAD"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699" w:history="1">
        <w:r w:rsidRPr="002D24F7">
          <w:rPr>
            <w:rStyle w:val="Hyperlink"/>
            <w:rFonts w:ascii="Verdana" w:hAnsi="Verdana"/>
            <w:noProof/>
          </w:rPr>
          <w:t>Table des matières</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_Toc224836699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14</w:t>
        </w:r>
        <w:r w:rsidRPr="002D24F7">
          <w:rPr>
            <w:rFonts w:ascii="Verdana" w:hAnsi="Verdana"/>
            <w:noProof/>
            <w:webHidden/>
          </w:rPr>
          <w:fldChar w:fldCharType="end"/>
        </w:r>
      </w:hyperlink>
    </w:p>
    <w:p w14:paraId="418DCD58" w14:textId="639F87AE"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700" w:history="1">
        <w:r w:rsidRPr="002D24F7">
          <w:rPr>
            <w:rStyle w:val="Hyperlink"/>
            <w:rFonts w:ascii="Verdana" w:hAnsi="Verdana"/>
            <w:noProof/>
          </w:rPr>
          <w:t>Liste des tableaux</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_Toc224836700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17</w:t>
        </w:r>
        <w:r w:rsidRPr="002D24F7">
          <w:rPr>
            <w:rFonts w:ascii="Verdana" w:hAnsi="Verdana"/>
            <w:noProof/>
            <w:webHidden/>
          </w:rPr>
          <w:fldChar w:fldCharType="end"/>
        </w:r>
      </w:hyperlink>
    </w:p>
    <w:p w14:paraId="780B8CD8" w14:textId="78441145"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701" w:history="1">
        <w:r w:rsidRPr="002D24F7">
          <w:rPr>
            <w:rStyle w:val="Hyperlink"/>
            <w:rFonts w:ascii="Verdana" w:hAnsi="Verdana"/>
            <w:noProof/>
          </w:rPr>
          <w:t>Liste des figures</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_Toc224836701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17</w:t>
        </w:r>
        <w:r w:rsidRPr="002D24F7">
          <w:rPr>
            <w:rFonts w:ascii="Verdana" w:hAnsi="Verdana"/>
            <w:noProof/>
            <w:webHidden/>
          </w:rPr>
          <w:fldChar w:fldCharType="end"/>
        </w:r>
      </w:hyperlink>
    </w:p>
    <w:p w14:paraId="6E273F8A" w14:textId="450A2D5E"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702" w:history="1">
        <w:r w:rsidRPr="002D24F7">
          <w:rPr>
            <w:rStyle w:val="Hyperlink"/>
            <w:rFonts w:ascii="Verdana" w:hAnsi="Verdana"/>
            <w:noProof/>
          </w:rPr>
          <w:t>Liste des abréviations</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_Toc224836702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18</w:t>
        </w:r>
        <w:r w:rsidRPr="002D24F7">
          <w:rPr>
            <w:rFonts w:ascii="Verdana" w:hAnsi="Verdana"/>
            <w:noProof/>
            <w:webHidden/>
          </w:rPr>
          <w:fldChar w:fldCharType="end"/>
        </w:r>
      </w:hyperlink>
    </w:p>
    <w:p w14:paraId="72BD81BF" w14:textId="3E3608E3"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703" w:history="1">
        <w:r w:rsidRPr="002D24F7">
          <w:rPr>
            <w:rStyle w:val="Hyperlink"/>
            <w:rFonts w:ascii="Verdana" w:hAnsi="Verdana"/>
            <w:noProof/>
          </w:rPr>
          <w:t>Chapitre 1 : Introduction</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_Toc224836703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22</w:t>
        </w:r>
        <w:r w:rsidRPr="002D24F7">
          <w:rPr>
            <w:rFonts w:ascii="Verdana" w:hAnsi="Verdana"/>
            <w:noProof/>
            <w:webHidden/>
          </w:rPr>
          <w:fldChar w:fldCharType="end"/>
        </w:r>
      </w:hyperlink>
    </w:p>
    <w:p w14:paraId="6B277CE3" w14:textId="20E9783B"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704" w:history="1">
        <w:r w:rsidRPr="002D24F7">
          <w:rPr>
            <w:rStyle w:val="Hyperlink"/>
            <w:rFonts w:ascii="Verdana" w:hAnsi="Verdana"/>
            <w:noProof/>
          </w:rPr>
          <w:t>Chapitre 2 : Approvisionnement public – tendances et cadres</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_Toc224836704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38</w:t>
        </w:r>
        <w:r w:rsidRPr="002D24F7">
          <w:rPr>
            <w:rFonts w:ascii="Verdana" w:hAnsi="Verdana"/>
            <w:noProof/>
            <w:webHidden/>
          </w:rPr>
          <w:fldChar w:fldCharType="end"/>
        </w:r>
      </w:hyperlink>
    </w:p>
    <w:p w14:paraId="64EEFE15" w14:textId="63AD9C10"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705" w:history="1">
        <w:r w:rsidRPr="002D24F7">
          <w:rPr>
            <w:rStyle w:val="Hyperlink"/>
            <w:rFonts w:ascii="Verdana" w:hAnsi="Verdana"/>
            <w:noProof/>
          </w:rPr>
          <w:t>Chapitre 3 : Analyse environnementale de l’approvisionnement accessible</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_Toc224836705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72</w:t>
        </w:r>
        <w:r w:rsidRPr="002D24F7">
          <w:rPr>
            <w:rFonts w:ascii="Verdana" w:hAnsi="Verdana"/>
            <w:noProof/>
            <w:webHidden/>
          </w:rPr>
          <w:fldChar w:fldCharType="end"/>
        </w:r>
      </w:hyperlink>
    </w:p>
    <w:p w14:paraId="3F9661F1" w14:textId="07908B51"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706" w:history="1">
        <w:r w:rsidRPr="002D24F7">
          <w:rPr>
            <w:rStyle w:val="Hyperlink"/>
            <w:rFonts w:ascii="Verdana" w:hAnsi="Verdana"/>
            <w:noProof/>
          </w:rPr>
          <w:t>Chapitre 4 : Recommandations relatives à l’approvisionnement accessible</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_Toc224836706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93</w:t>
        </w:r>
        <w:r w:rsidRPr="002D24F7">
          <w:rPr>
            <w:rFonts w:ascii="Verdana" w:hAnsi="Verdana"/>
            <w:noProof/>
            <w:webHidden/>
          </w:rPr>
          <w:fldChar w:fldCharType="end"/>
        </w:r>
      </w:hyperlink>
    </w:p>
    <w:p w14:paraId="07382D20" w14:textId="7F1270B7"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707" w:history="1">
        <w:r w:rsidRPr="002D24F7">
          <w:rPr>
            <w:rStyle w:val="Hyperlink"/>
            <w:rFonts w:ascii="Verdana" w:hAnsi="Verdana"/>
            <w:noProof/>
          </w:rPr>
          <w:t>Chapitre 5 : Trouver et regrouper des données probantes</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_Toc224836707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159</w:t>
        </w:r>
        <w:r w:rsidRPr="002D24F7">
          <w:rPr>
            <w:rFonts w:ascii="Verdana" w:hAnsi="Verdana"/>
            <w:noProof/>
            <w:webHidden/>
          </w:rPr>
          <w:fldChar w:fldCharType="end"/>
        </w:r>
      </w:hyperlink>
    </w:p>
    <w:p w14:paraId="1127DE8C" w14:textId="6B9510E8"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708" w:history="1">
        <w:r w:rsidRPr="002D24F7">
          <w:rPr>
            <w:rStyle w:val="Hyperlink"/>
            <w:rFonts w:ascii="Verdana" w:hAnsi="Verdana"/>
            <w:noProof/>
          </w:rPr>
          <w:t>Chapitre 6 : Un modèle accessible et résilient de la chaîne d’approvisionnement</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_Toc224836708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190</w:t>
        </w:r>
        <w:r w:rsidRPr="002D24F7">
          <w:rPr>
            <w:rFonts w:ascii="Verdana" w:hAnsi="Verdana"/>
            <w:noProof/>
            <w:webHidden/>
          </w:rPr>
          <w:fldChar w:fldCharType="end"/>
        </w:r>
      </w:hyperlink>
    </w:p>
    <w:p w14:paraId="419163FF" w14:textId="05D5E87F"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709" w:history="1">
        <w:r w:rsidRPr="002D24F7">
          <w:rPr>
            <w:rStyle w:val="Hyperlink"/>
            <w:rFonts w:ascii="Verdana" w:hAnsi="Verdana"/>
            <w:noProof/>
          </w:rPr>
          <w:t>Chapitre 7 : Conclusion</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_Toc224836709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207</w:t>
        </w:r>
        <w:r w:rsidRPr="002D24F7">
          <w:rPr>
            <w:rFonts w:ascii="Verdana" w:hAnsi="Verdana"/>
            <w:noProof/>
            <w:webHidden/>
          </w:rPr>
          <w:fldChar w:fldCharType="end"/>
        </w:r>
      </w:hyperlink>
    </w:p>
    <w:p w14:paraId="01B5FDE4" w14:textId="45468898"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710" w:history="1">
        <w:r w:rsidRPr="002D24F7">
          <w:rPr>
            <w:rStyle w:val="Hyperlink"/>
            <w:rFonts w:ascii="Verdana" w:hAnsi="Verdana"/>
            <w:noProof/>
          </w:rPr>
          <w:t>Terminologie clé :</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_Toc224836710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219</w:t>
        </w:r>
        <w:r w:rsidRPr="002D24F7">
          <w:rPr>
            <w:rFonts w:ascii="Verdana" w:hAnsi="Verdana"/>
            <w:noProof/>
            <w:webHidden/>
          </w:rPr>
          <w:fldChar w:fldCharType="end"/>
        </w:r>
      </w:hyperlink>
    </w:p>
    <w:p w14:paraId="3DD9B58C" w14:textId="302810B1"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711" w:history="1">
        <w:r w:rsidRPr="002D24F7">
          <w:rPr>
            <w:rStyle w:val="Hyperlink"/>
            <w:rFonts w:ascii="Verdana" w:hAnsi="Verdana"/>
            <w:noProof/>
          </w:rPr>
          <w:t>Références</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_Toc224836711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232</w:t>
        </w:r>
        <w:r w:rsidRPr="002D24F7">
          <w:rPr>
            <w:rFonts w:ascii="Verdana" w:hAnsi="Verdana"/>
            <w:noProof/>
            <w:webHidden/>
          </w:rPr>
          <w:fldChar w:fldCharType="end"/>
        </w:r>
      </w:hyperlink>
    </w:p>
    <w:p w14:paraId="64168BA9" w14:textId="20E24969"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712" w:history="1">
        <w:r w:rsidRPr="002D24F7">
          <w:rPr>
            <w:rStyle w:val="Hyperlink"/>
            <w:rFonts w:ascii="Verdana" w:hAnsi="Verdana"/>
            <w:noProof/>
          </w:rPr>
          <w:t>Annexe A : Ressources et boîtes à outils pour l’approvisionnement accessible</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_Toc224836712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260</w:t>
        </w:r>
        <w:r w:rsidRPr="002D24F7">
          <w:rPr>
            <w:rFonts w:ascii="Verdana" w:hAnsi="Verdana"/>
            <w:noProof/>
            <w:webHidden/>
          </w:rPr>
          <w:fldChar w:fldCharType="end"/>
        </w:r>
      </w:hyperlink>
    </w:p>
    <w:p w14:paraId="4FF8AE08" w14:textId="09FB55F7"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713" w:history="1">
        <w:r w:rsidRPr="002D24F7">
          <w:rPr>
            <w:rStyle w:val="Hyperlink"/>
            <w:rFonts w:ascii="Verdana" w:hAnsi="Verdana"/>
            <w:noProof/>
          </w:rPr>
          <w:t>Annexe B : Graphiques sur l’approvisionnement accessible</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_Toc224836713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269</w:t>
        </w:r>
        <w:r w:rsidRPr="002D24F7">
          <w:rPr>
            <w:rFonts w:ascii="Verdana" w:hAnsi="Verdana"/>
            <w:noProof/>
            <w:webHidden/>
          </w:rPr>
          <w:fldChar w:fldCharType="end"/>
        </w:r>
      </w:hyperlink>
    </w:p>
    <w:p w14:paraId="1239485E" w14:textId="2DBDEB68"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714" w:history="1">
        <w:r w:rsidRPr="002D24F7">
          <w:rPr>
            <w:rStyle w:val="Hyperlink"/>
            <w:rFonts w:ascii="Verdana" w:hAnsi="Verdana"/>
            <w:noProof/>
          </w:rPr>
          <w:t>Annexe C : Comment évaluer l’inclusion des personnes en situation de handicap chez les fournisseurs potentiels</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_Toc224836714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287</w:t>
        </w:r>
        <w:r w:rsidRPr="002D24F7">
          <w:rPr>
            <w:rFonts w:ascii="Verdana" w:hAnsi="Verdana"/>
            <w:noProof/>
            <w:webHidden/>
          </w:rPr>
          <w:fldChar w:fldCharType="end"/>
        </w:r>
      </w:hyperlink>
    </w:p>
    <w:p w14:paraId="3A9A015C" w14:textId="231F34F8"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715" w:history="1">
        <w:r w:rsidRPr="002D24F7">
          <w:rPr>
            <w:rStyle w:val="Hyperlink"/>
            <w:rFonts w:ascii="Verdana" w:hAnsi="Verdana"/>
            <w:noProof/>
          </w:rPr>
          <w:t>Annexe D : Exemples de mesures pour l’approvisionnement accessible</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_Toc224836715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291</w:t>
        </w:r>
        <w:r w:rsidRPr="002D24F7">
          <w:rPr>
            <w:rFonts w:ascii="Verdana" w:hAnsi="Verdana"/>
            <w:noProof/>
            <w:webHidden/>
          </w:rPr>
          <w:fldChar w:fldCharType="end"/>
        </w:r>
      </w:hyperlink>
    </w:p>
    <w:p w14:paraId="4132FDA3" w14:textId="4F7E26D8"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716" w:history="1">
        <w:r w:rsidRPr="002D24F7">
          <w:rPr>
            <w:rStyle w:val="Hyperlink"/>
            <w:rFonts w:ascii="Verdana" w:hAnsi="Verdana"/>
            <w:noProof/>
          </w:rPr>
          <w:t>Annexe E : Modèle de tableau de bord pour l’évaluation de l’approvisionnement</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_Toc224836716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298</w:t>
        </w:r>
        <w:r w:rsidRPr="002D24F7">
          <w:rPr>
            <w:rFonts w:ascii="Verdana" w:hAnsi="Verdana"/>
            <w:noProof/>
            <w:webHidden/>
          </w:rPr>
          <w:fldChar w:fldCharType="end"/>
        </w:r>
      </w:hyperlink>
    </w:p>
    <w:p w14:paraId="5C394089" w14:textId="1734D345" w:rsidR="00866494" w:rsidRPr="002D24F7" w:rsidRDefault="00866494">
      <w:pPr>
        <w:pStyle w:val="TOC2"/>
        <w:rPr>
          <w:rFonts w:ascii="Verdana" w:eastAsiaTheme="minorEastAsia" w:hAnsi="Verdana" w:cstheme="minorBidi"/>
          <w:noProof/>
          <w:kern w:val="2"/>
          <w:sz w:val="24"/>
          <w:lang w:val="en-CA"/>
          <w14:ligatures w14:val="standardContextual"/>
        </w:rPr>
      </w:pPr>
      <w:hyperlink w:anchor="_Toc224836717" w:history="1">
        <w:r w:rsidRPr="002D24F7">
          <w:rPr>
            <w:rStyle w:val="Hyperlink"/>
            <w:rFonts w:ascii="Verdana" w:hAnsi="Verdana"/>
            <w:noProof/>
          </w:rPr>
          <w:t>Annexe F : Publications associées</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_Toc224836717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304</w:t>
        </w:r>
        <w:r w:rsidRPr="002D24F7">
          <w:rPr>
            <w:rFonts w:ascii="Verdana" w:hAnsi="Verdana"/>
            <w:noProof/>
            <w:webHidden/>
          </w:rPr>
          <w:fldChar w:fldCharType="end"/>
        </w:r>
      </w:hyperlink>
    </w:p>
    <w:p w14:paraId="1B6DBE4F" w14:textId="05989803" w:rsidR="00866494" w:rsidRDefault="00866494">
      <w:pPr>
        <w:pStyle w:val="TOC2"/>
        <w:rPr>
          <w:rFonts w:asciiTheme="minorHAnsi" w:eastAsiaTheme="minorEastAsia" w:hAnsiTheme="minorHAnsi" w:cstheme="minorBidi"/>
          <w:noProof/>
          <w:kern w:val="2"/>
          <w:sz w:val="24"/>
          <w:lang w:val="en-CA"/>
          <w14:ligatures w14:val="standardContextual"/>
        </w:rPr>
      </w:pPr>
      <w:hyperlink w:anchor="_Toc224836718" w:history="1">
        <w:r w:rsidRPr="002D24F7">
          <w:rPr>
            <w:rStyle w:val="Hyperlink"/>
            <w:rFonts w:ascii="Verdana" w:hAnsi="Verdana"/>
            <w:noProof/>
          </w:rPr>
          <w:t>Annexe G : Conception universelle et conception universelle de l’apprentissage</w:t>
        </w:r>
        <w:r w:rsidRPr="002D24F7">
          <w:rPr>
            <w:rFonts w:ascii="Verdana" w:hAnsi="Verdana"/>
            <w:noProof/>
            <w:webHidden/>
          </w:rPr>
          <w:tab/>
        </w:r>
        <w:r w:rsidRPr="002D24F7">
          <w:rPr>
            <w:rFonts w:ascii="Verdana" w:hAnsi="Verdana"/>
            <w:noProof/>
            <w:webHidden/>
          </w:rPr>
          <w:fldChar w:fldCharType="begin"/>
        </w:r>
        <w:r w:rsidRPr="002D24F7">
          <w:rPr>
            <w:rFonts w:ascii="Verdana" w:hAnsi="Verdana"/>
            <w:noProof/>
            <w:webHidden/>
          </w:rPr>
          <w:instrText xml:space="preserve"> PAGEREF _Toc224836718 \h </w:instrText>
        </w:r>
        <w:r w:rsidRPr="002D24F7">
          <w:rPr>
            <w:rFonts w:ascii="Verdana" w:hAnsi="Verdana"/>
            <w:noProof/>
            <w:webHidden/>
          </w:rPr>
        </w:r>
        <w:r w:rsidRPr="002D24F7">
          <w:rPr>
            <w:rFonts w:ascii="Verdana" w:hAnsi="Verdana"/>
            <w:noProof/>
            <w:webHidden/>
          </w:rPr>
          <w:fldChar w:fldCharType="separate"/>
        </w:r>
        <w:r w:rsidRPr="002D24F7">
          <w:rPr>
            <w:rFonts w:ascii="Verdana" w:hAnsi="Verdana"/>
            <w:noProof/>
            <w:webHidden/>
          </w:rPr>
          <w:t>306</w:t>
        </w:r>
        <w:r w:rsidRPr="002D24F7">
          <w:rPr>
            <w:rFonts w:ascii="Verdana" w:hAnsi="Verdana"/>
            <w:noProof/>
            <w:webHidden/>
          </w:rPr>
          <w:fldChar w:fldCharType="end"/>
        </w:r>
      </w:hyperlink>
    </w:p>
    <w:p w14:paraId="5FBE4FAB" w14:textId="5C2A9DCF" w:rsidR="005F6D2D" w:rsidRPr="00E34E46" w:rsidRDefault="00866494" w:rsidP="00866494">
      <w:pPr>
        <w:pStyle w:val="TOC1"/>
      </w:pPr>
      <w:r>
        <w:fldChar w:fldCharType="end"/>
      </w:r>
    </w:p>
    <w:p w14:paraId="51C899C2" w14:textId="77777777" w:rsidR="005F6D2D" w:rsidRPr="00E34E46" w:rsidRDefault="005F6D2D" w:rsidP="005F6D2D">
      <w:pPr>
        <w:rPr>
          <w:rFonts w:cstheme="majorBidi"/>
          <w:sz w:val="36"/>
          <w:szCs w:val="36"/>
        </w:rPr>
      </w:pPr>
      <w:r w:rsidRPr="00E34E46">
        <w:br w:type="page"/>
      </w:r>
    </w:p>
    <w:p w14:paraId="25B0CA81" w14:textId="294333AA" w:rsidR="00105FAE" w:rsidRDefault="00105FAE" w:rsidP="00046ECC">
      <w:pPr>
        <w:pStyle w:val="Heading2"/>
      </w:pPr>
      <w:bookmarkStart w:id="28" w:name="_Toc210828483"/>
      <w:bookmarkStart w:id="29" w:name="_Toc210828484"/>
      <w:bookmarkStart w:id="30" w:name="_Toc224836472"/>
      <w:bookmarkStart w:id="31" w:name="_Toc224836700"/>
      <w:r>
        <w:lastRenderedPageBreak/>
        <w:t>List</w:t>
      </w:r>
      <w:r w:rsidR="0031136C">
        <w:t>e</w:t>
      </w:r>
      <w:r>
        <w:t xml:space="preserve"> des tabl</w:t>
      </w:r>
      <w:r w:rsidR="00883706">
        <w:t>eaux</w:t>
      </w:r>
      <w:bookmarkEnd w:id="30"/>
      <w:bookmarkEnd w:id="31"/>
    </w:p>
    <w:p w14:paraId="35445AA9" w14:textId="6AF1CF9B" w:rsidR="0031136C" w:rsidRDefault="00105FAE">
      <w:pPr>
        <w:pStyle w:val="TableofFigures"/>
        <w:tabs>
          <w:tab w:val="right" w:leader="dot" w:pos="9350"/>
        </w:tabs>
        <w:rPr>
          <w:rFonts w:asciiTheme="minorHAnsi" w:eastAsiaTheme="minorEastAsia" w:hAnsiTheme="minorHAnsi" w:cstheme="minorBidi"/>
          <w:noProof/>
          <w:lang w:val="en-CA"/>
        </w:rPr>
      </w:pPr>
      <w:r>
        <w:fldChar w:fldCharType="begin"/>
      </w:r>
      <w:r>
        <w:instrText xml:space="preserve"> TOC \h \z \c "Tableau" </w:instrText>
      </w:r>
      <w:r>
        <w:fldChar w:fldCharType="separate"/>
      </w:r>
      <w:hyperlink w:anchor="_Toc224836034" w:history="1">
        <w:r w:rsidR="0031136C" w:rsidRPr="00F96F5D">
          <w:rPr>
            <w:rStyle w:val="Hyperlink"/>
            <w:b/>
            <w:bCs/>
            <w:noProof/>
          </w:rPr>
          <w:t>Tableau 1</w:t>
        </w:r>
        <w:r w:rsidR="0031136C" w:rsidRPr="00F96F5D">
          <w:rPr>
            <w:rStyle w:val="Hyperlink"/>
            <w:noProof/>
          </w:rPr>
          <w:t xml:space="preserve">  Tableau d’évaluation de l’approvisionnement</w:t>
        </w:r>
        <w:r w:rsidR="0031136C">
          <w:rPr>
            <w:noProof/>
            <w:webHidden/>
          </w:rPr>
          <w:tab/>
        </w:r>
        <w:r w:rsidR="0031136C">
          <w:rPr>
            <w:noProof/>
            <w:webHidden/>
          </w:rPr>
          <w:fldChar w:fldCharType="begin"/>
        </w:r>
        <w:r w:rsidR="0031136C">
          <w:rPr>
            <w:noProof/>
            <w:webHidden/>
          </w:rPr>
          <w:instrText xml:space="preserve"> PAGEREF _Toc224836034 \h </w:instrText>
        </w:r>
        <w:r w:rsidR="0031136C">
          <w:rPr>
            <w:noProof/>
            <w:webHidden/>
          </w:rPr>
        </w:r>
        <w:r w:rsidR="0031136C">
          <w:rPr>
            <w:noProof/>
            <w:webHidden/>
          </w:rPr>
          <w:fldChar w:fldCharType="separate"/>
        </w:r>
        <w:r w:rsidR="0031136C">
          <w:rPr>
            <w:noProof/>
            <w:webHidden/>
          </w:rPr>
          <w:t>323</w:t>
        </w:r>
        <w:r w:rsidR="0031136C">
          <w:rPr>
            <w:noProof/>
            <w:webHidden/>
          </w:rPr>
          <w:fldChar w:fldCharType="end"/>
        </w:r>
      </w:hyperlink>
    </w:p>
    <w:p w14:paraId="04FE9C99" w14:textId="1A56E00F" w:rsidR="00105FAE" w:rsidRDefault="00105FAE" w:rsidP="00105FAE">
      <w:pPr>
        <w:ind w:firstLine="0"/>
      </w:pPr>
      <w:r>
        <w:fldChar w:fldCharType="end"/>
      </w:r>
    </w:p>
    <w:p w14:paraId="18A736F5" w14:textId="72623891" w:rsidR="00046ECC" w:rsidRPr="00E34E46" w:rsidRDefault="00046ECC" w:rsidP="00046ECC">
      <w:pPr>
        <w:pStyle w:val="Heading2"/>
      </w:pPr>
      <w:bookmarkStart w:id="32" w:name="_Toc224836473"/>
      <w:bookmarkStart w:id="33" w:name="_Toc224836701"/>
      <w:r w:rsidRPr="00E34E46">
        <w:t>Liste des figures</w:t>
      </w:r>
      <w:bookmarkEnd w:id="29"/>
      <w:bookmarkEnd w:id="32"/>
      <w:bookmarkEnd w:id="33"/>
    </w:p>
    <w:p w14:paraId="0790B7E4" w14:textId="32DF8117" w:rsidR="00F93AF5" w:rsidRPr="00E34E46" w:rsidRDefault="00821F70" w:rsidP="00553859">
      <w:pPr>
        <w:pStyle w:val="TableofFigures"/>
        <w:tabs>
          <w:tab w:val="right" w:leader="dot" w:pos="9350"/>
        </w:tabs>
        <w:ind w:left="720" w:hanging="720"/>
        <w:rPr>
          <w:rFonts w:asciiTheme="minorHAnsi" w:eastAsiaTheme="minorEastAsia" w:hAnsiTheme="minorHAnsi" w:cstheme="minorBidi"/>
          <w:noProof/>
        </w:rPr>
      </w:pPr>
      <w:r w:rsidRPr="00E34E46">
        <w:fldChar w:fldCharType="begin"/>
      </w:r>
      <w:r w:rsidRPr="00E34E46">
        <w:instrText xml:space="preserve"> TOC \h \z \c "Figure" </w:instrText>
      </w:r>
      <w:r w:rsidRPr="00E34E46">
        <w:fldChar w:fldCharType="separate"/>
      </w:r>
      <w:hyperlink w:anchor="_Toc224833494" w:history="1">
        <w:r w:rsidR="00F93AF5" w:rsidRPr="00E34E46">
          <w:rPr>
            <w:rStyle w:val="Hyperlink"/>
            <w:b/>
            <w:bCs/>
            <w:noProof/>
          </w:rPr>
          <w:t>Figure 1</w:t>
        </w:r>
        <w:r w:rsidR="00F93AF5" w:rsidRPr="00E34E46">
          <w:rPr>
            <w:rStyle w:val="Hyperlink"/>
            <w:noProof/>
          </w:rPr>
          <w:t xml:space="preserve">  </w:t>
        </w:r>
        <w:r w:rsidR="00F93AF5" w:rsidRPr="00E34E46">
          <w:rPr>
            <w:rStyle w:val="Hyperlink"/>
            <w:i/>
            <w:iCs/>
            <w:noProof/>
          </w:rPr>
          <w:t>Formes de cadres d’approvisionnement influençant l’approvisionnement accessible</w:t>
        </w:r>
        <w:r w:rsidR="00F93AF5" w:rsidRPr="00E34E46">
          <w:rPr>
            <w:noProof/>
            <w:webHidden/>
          </w:rPr>
          <w:tab/>
        </w:r>
        <w:r w:rsidR="00F93AF5" w:rsidRPr="00E34E46">
          <w:rPr>
            <w:noProof/>
            <w:webHidden/>
          </w:rPr>
          <w:fldChar w:fldCharType="begin"/>
        </w:r>
        <w:r w:rsidR="00F93AF5" w:rsidRPr="00E34E46">
          <w:rPr>
            <w:noProof/>
            <w:webHidden/>
          </w:rPr>
          <w:instrText xml:space="preserve"> PAGEREF _Toc224833494 \h </w:instrText>
        </w:r>
        <w:r w:rsidR="00F93AF5" w:rsidRPr="00E34E46">
          <w:rPr>
            <w:noProof/>
            <w:webHidden/>
          </w:rPr>
        </w:r>
        <w:r w:rsidR="00F93AF5" w:rsidRPr="00E34E46">
          <w:rPr>
            <w:noProof/>
            <w:webHidden/>
          </w:rPr>
          <w:fldChar w:fldCharType="separate"/>
        </w:r>
        <w:r w:rsidR="00F93AF5" w:rsidRPr="00E34E46">
          <w:rPr>
            <w:noProof/>
            <w:webHidden/>
          </w:rPr>
          <w:t>68</w:t>
        </w:r>
        <w:r w:rsidR="00F93AF5" w:rsidRPr="00E34E46">
          <w:rPr>
            <w:noProof/>
            <w:webHidden/>
          </w:rPr>
          <w:fldChar w:fldCharType="end"/>
        </w:r>
      </w:hyperlink>
    </w:p>
    <w:p w14:paraId="55EB4AEB" w14:textId="548F6B25" w:rsidR="00F93AF5" w:rsidRPr="00E34E46" w:rsidRDefault="000D5961" w:rsidP="00553859">
      <w:pPr>
        <w:pStyle w:val="TableofFigures"/>
        <w:tabs>
          <w:tab w:val="right" w:leader="dot" w:pos="9350"/>
        </w:tabs>
        <w:ind w:left="720" w:hanging="720"/>
        <w:rPr>
          <w:rFonts w:asciiTheme="minorHAnsi" w:eastAsiaTheme="minorEastAsia" w:hAnsiTheme="minorHAnsi" w:cstheme="minorBidi"/>
          <w:noProof/>
        </w:rPr>
      </w:pPr>
      <w:hyperlink w:anchor="_Toc224833495" w:history="1">
        <w:r w:rsidRPr="00E34E46">
          <w:rPr>
            <w:rStyle w:val="Hyperlink"/>
            <w:b/>
            <w:bCs/>
            <w:noProof/>
          </w:rPr>
          <w:t>Fig</w:t>
        </w:r>
        <w:r w:rsidR="00F93AF5" w:rsidRPr="00E34E46">
          <w:rPr>
            <w:rStyle w:val="Hyperlink"/>
            <w:b/>
            <w:bCs/>
            <w:noProof/>
          </w:rPr>
          <w:t>ure 2</w:t>
        </w:r>
        <w:r w:rsidR="00F93AF5" w:rsidRPr="00E34E46">
          <w:rPr>
            <w:rStyle w:val="Hyperlink"/>
            <w:noProof/>
          </w:rPr>
          <w:t xml:space="preserve">  </w:t>
        </w:r>
        <w:r w:rsidR="00F93AF5" w:rsidRPr="00E34E46">
          <w:rPr>
            <w:rStyle w:val="Hyperlink"/>
            <w:i/>
            <w:iCs/>
            <w:noProof/>
          </w:rPr>
          <w:t>Réseautage des principes de conception universelle avec ceux de l’Accord sur les marchés publics de l’OMC</w:t>
        </w:r>
        <w:r w:rsidR="00F93AF5" w:rsidRPr="00E34E46">
          <w:rPr>
            <w:noProof/>
            <w:webHidden/>
          </w:rPr>
          <w:tab/>
        </w:r>
        <w:r w:rsidR="00F93AF5" w:rsidRPr="00E34E46">
          <w:rPr>
            <w:noProof/>
            <w:webHidden/>
          </w:rPr>
          <w:fldChar w:fldCharType="begin"/>
        </w:r>
        <w:r w:rsidR="00F93AF5" w:rsidRPr="00E34E46">
          <w:rPr>
            <w:noProof/>
            <w:webHidden/>
          </w:rPr>
          <w:instrText xml:space="preserve"> PAGEREF _Toc224833495 \h </w:instrText>
        </w:r>
        <w:r w:rsidR="00F93AF5" w:rsidRPr="00E34E46">
          <w:rPr>
            <w:noProof/>
            <w:webHidden/>
          </w:rPr>
        </w:r>
        <w:r w:rsidR="00F93AF5" w:rsidRPr="00E34E46">
          <w:rPr>
            <w:noProof/>
            <w:webHidden/>
          </w:rPr>
          <w:fldChar w:fldCharType="separate"/>
        </w:r>
        <w:r w:rsidR="00F93AF5" w:rsidRPr="00E34E46">
          <w:rPr>
            <w:noProof/>
            <w:webHidden/>
          </w:rPr>
          <w:t>184</w:t>
        </w:r>
        <w:r w:rsidR="00F93AF5" w:rsidRPr="00E34E46">
          <w:rPr>
            <w:noProof/>
            <w:webHidden/>
          </w:rPr>
          <w:fldChar w:fldCharType="end"/>
        </w:r>
      </w:hyperlink>
    </w:p>
    <w:p w14:paraId="3EA5EFD7" w14:textId="6443E341" w:rsidR="00F93AF5" w:rsidRPr="00E34E46" w:rsidRDefault="00F93AF5" w:rsidP="00553859">
      <w:pPr>
        <w:pStyle w:val="TableofFigures"/>
        <w:tabs>
          <w:tab w:val="right" w:leader="dot" w:pos="9350"/>
        </w:tabs>
        <w:ind w:left="720" w:hanging="720"/>
        <w:rPr>
          <w:rFonts w:asciiTheme="minorHAnsi" w:eastAsiaTheme="minorEastAsia" w:hAnsiTheme="minorHAnsi" w:cstheme="minorBidi"/>
          <w:noProof/>
        </w:rPr>
      </w:pPr>
      <w:hyperlink w:anchor="_Toc224833496" w:history="1">
        <w:r w:rsidRPr="00E34E46">
          <w:rPr>
            <w:rStyle w:val="Hyperlink"/>
            <w:b/>
            <w:bCs/>
            <w:noProof/>
          </w:rPr>
          <w:t>Figure 3</w:t>
        </w:r>
        <w:r w:rsidRPr="00E34E46">
          <w:rPr>
            <w:rStyle w:val="Hyperlink"/>
            <w:noProof/>
          </w:rPr>
          <w:t xml:space="preserve">  </w:t>
        </w:r>
        <w:r w:rsidRPr="00E34E46">
          <w:rPr>
            <w:rStyle w:val="Hyperlink"/>
            <w:i/>
            <w:iCs/>
            <w:noProof/>
          </w:rPr>
          <w:t>Schéma de la phase pré-attribution</w:t>
        </w:r>
        <w:r w:rsidRPr="00E34E46">
          <w:rPr>
            <w:noProof/>
            <w:webHidden/>
          </w:rPr>
          <w:tab/>
        </w:r>
        <w:r w:rsidRPr="00E34E46">
          <w:rPr>
            <w:noProof/>
            <w:webHidden/>
          </w:rPr>
          <w:fldChar w:fldCharType="begin"/>
        </w:r>
        <w:r w:rsidRPr="00E34E46">
          <w:rPr>
            <w:noProof/>
            <w:webHidden/>
          </w:rPr>
          <w:instrText xml:space="preserve"> PAGEREF _Toc224833496 \h </w:instrText>
        </w:r>
        <w:r w:rsidRPr="00E34E46">
          <w:rPr>
            <w:noProof/>
            <w:webHidden/>
          </w:rPr>
        </w:r>
        <w:r w:rsidRPr="00E34E46">
          <w:rPr>
            <w:noProof/>
            <w:webHidden/>
          </w:rPr>
          <w:fldChar w:fldCharType="separate"/>
        </w:r>
        <w:r w:rsidRPr="00E34E46">
          <w:rPr>
            <w:noProof/>
            <w:webHidden/>
          </w:rPr>
          <w:t>271</w:t>
        </w:r>
        <w:r w:rsidRPr="00E34E46">
          <w:rPr>
            <w:noProof/>
            <w:webHidden/>
          </w:rPr>
          <w:fldChar w:fldCharType="end"/>
        </w:r>
      </w:hyperlink>
    </w:p>
    <w:p w14:paraId="7EEED61B" w14:textId="018A4ADA" w:rsidR="00F93AF5" w:rsidRPr="00E34E46" w:rsidRDefault="00F93AF5" w:rsidP="00553859">
      <w:pPr>
        <w:pStyle w:val="TableofFigures"/>
        <w:tabs>
          <w:tab w:val="right" w:leader="dot" w:pos="9350"/>
        </w:tabs>
        <w:ind w:left="720" w:hanging="720"/>
        <w:rPr>
          <w:rFonts w:asciiTheme="minorHAnsi" w:eastAsiaTheme="minorEastAsia" w:hAnsiTheme="minorHAnsi" w:cstheme="minorBidi"/>
          <w:noProof/>
        </w:rPr>
      </w:pPr>
      <w:hyperlink w:anchor="_Toc224833497" w:history="1">
        <w:r w:rsidRPr="00E34E46">
          <w:rPr>
            <w:rStyle w:val="Hyperlink"/>
            <w:b/>
            <w:bCs/>
            <w:noProof/>
          </w:rPr>
          <w:t xml:space="preserve">Figure 4  </w:t>
        </w:r>
        <w:r w:rsidRPr="00E34E46">
          <w:rPr>
            <w:rStyle w:val="Hyperlink"/>
            <w:i/>
            <w:iCs/>
            <w:noProof/>
          </w:rPr>
          <w:t>Organigramme de la phase post-attribution</w:t>
        </w:r>
        <w:r w:rsidRPr="00E34E46">
          <w:rPr>
            <w:noProof/>
            <w:webHidden/>
          </w:rPr>
          <w:tab/>
        </w:r>
        <w:r w:rsidRPr="00E34E46">
          <w:rPr>
            <w:noProof/>
            <w:webHidden/>
          </w:rPr>
          <w:fldChar w:fldCharType="begin"/>
        </w:r>
        <w:r w:rsidRPr="00E34E46">
          <w:rPr>
            <w:noProof/>
            <w:webHidden/>
          </w:rPr>
          <w:instrText xml:space="preserve"> PAGEREF _Toc224833497 \h </w:instrText>
        </w:r>
        <w:r w:rsidRPr="00E34E46">
          <w:rPr>
            <w:noProof/>
            <w:webHidden/>
          </w:rPr>
        </w:r>
        <w:r w:rsidRPr="00E34E46">
          <w:rPr>
            <w:noProof/>
            <w:webHidden/>
          </w:rPr>
          <w:fldChar w:fldCharType="separate"/>
        </w:r>
        <w:r w:rsidRPr="00E34E46">
          <w:rPr>
            <w:noProof/>
            <w:webHidden/>
          </w:rPr>
          <w:t>281</w:t>
        </w:r>
        <w:r w:rsidRPr="00E34E46">
          <w:rPr>
            <w:noProof/>
            <w:webHidden/>
          </w:rPr>
          <w:fldChar w:fldCharType="end"/>
        </w:r>
      </w:hyperlink>
    </w:p>
    <w:p w14:paraId="7C46FADE" w14:textId="2B98C332" w:rsidR="00046ECC" w:rsidRPr="00E34E46" w:rsidRDefault="00821F70" w:rsidP="004353E7">
      <w:pPr>
        <w:pStyle w:val="APABibliography"/>
        <w:ind w:left="0" w:firstLine="0"/>
        <w:rPr>
          <w:rFonts w:cstheme="majorBidi"/>
          <w:color w:val="0F4761" w:themeColor="accent1" w:themeShade="BF"/>
          <w:sz w:val="32"/>
          <w:szCs w:val="32"/>
        </w:rPr>
      </w:pPr>
      <w:r w:rsidRPr="00E34E46">
        <w:fldChar w:fldCharType="end"/>
      </w:r>
      <w:r w:rsidR="00046ECC" w:rsidRPr="00E34E46">
        <w:br w:type="page"/>
      </w:r>
    </w:p>
    <w:p w14:paraId="5E5DD9CE" w14:textId="69A9C4A6" w:rsidR="00425733" w:rsidRPr="00E34E46" w:rsidRDefault="00547795" w:rsidP="00046ECC">
      <w:pPr>
        <w:pStyle w:val="Heading2"/>
      </w:pPr>
      <w:bookmarkStart w:id="34" w:name="_Toc224836474"/>
      <w:bookmarkStart w:id="35" w:name="_Toc224836702"/>
      <w:r w:rsidRPr="00E34E46">
        <w:lastRenderedPageBreak/>
        <w:t>Liste des a</w:t>
      </w:r>
      <w:r w:rsidR="00425733" w:rsidRPr="00E34E46">
        <w:t>bréviations</w:t>
      </w:r>
      <w:bookmarkEnd w:id="28"/>
      <w:bookmarkEnd w:id="34"/>
      <w:bookmarkEnd w:id="35"/>
    </w:p>
    <w:p w14:paraId="5641927F" w14:textId="5D732653" w:rsidR="00C2678F" w:rsidRPr="00E34E46" w:rsidRDefault="00C2678F" w:rsidP="00FD5AB7">
      <w:pPr>
        <w:ind w:left="720" w:hanging="720"/>
      </w:pPr>
      <w:r w:rsidRPr="00E34E46">
        <w:rPr>
          <w:b/>
          <w:bCs/>
        </w:rPr>
        <w:t>AA</w:t>
      </w:r>
      <w:r w:rsidRPr="00E34E46">
        <w:t> </w:t>
      </w:r>
      <w:r w:rsidR="00547795" w:rsidRPr="00E34E46">
        <w:t xml:space="preserve">-- </w:t>
      </w:r>
      <w:r w:rsidRPr="00E34E46">
        <w:t xml:space="preserve">Approvisionnement accessible </w:t>
      </w:r>
    </w:p>
    <w:p w14:paraId="2C9DF92A" w14:textId="4E5036EC" w:rsidR="00C2678F" w:rsidRPr="00E34E46" w:rsidRDefault="00C2678F" w:rsidP="00FD5AB7">
      <w:pPr>
        <w:ind w:left="720" w:hanging="720"/>
      </w:pPr>
      <w:r w:rsidRPr="00E34E46">
        <w:rPr>
          <w:b/>
          <w:bCs/>
        </w:rPr>
        <w:t>ACR</w:t>
      </w:r>
      <w:r w:rsidRPr="00E34E46">
        <w:t> </w:t>
      </w:r>
      <w:r w:rsidR="00A01BA9" w:rsidRPr="00E34E46">
        <w:t xml:space="preserve">-- </w:t>
      </w:r>
      <w:r w:rsidRPr="00E34E46">
        <w:t xml:space="preserve">Rapport de conformité en matière d’accessibilité </w:t>
      </w:r>
    </w:p>
    <w:p w14:paraId="436C90BB" w14:textId="375B8D80" w:rsidR="00C2678F" w:rsidRPr="00E34E46" w:rsidRDefault="00C2678F" w:rsidP="00FD5AB7">
      <w:pPr>
        <w:ind w:left="720" w:hanging="720"/>
      </w:pPr>
      <w:r w:rsidRPr="00E34E46">
        <w:rPr>
          <w:b/>
          <w:bCs/>
        </w:rPr>
        <w:t>CA</w:t>
      </w:r>
      <w:r w:rsidRPr="00E34E46">
        <w:t> </w:t>
      </w:r>
      <w:r w:rsidR="00A01BA9" w:rsidRPr="00E34E46">
        <w:t xml:space="preserve">-- </w:t>
      </w:r>
      <w:r w:rsidRPr="00E34E46">
        <w:t xml:space="preserve">Chef de l’accessibilité </w:t>
      </w:r>
    </w:p>
    <w:p w14:paraId="36F932EC" w14:textId="3F34772D" w:rsidR="00C2678F" w:rsidRPr="00E34E46" w:rsidRDefault="00C2678F" w:rsidP="00FD5AB7">
      <w:pPr>
        <w:ind w:left="720" w:hanging="720"/>
      </w:pPr>
      <w:r w:rsidRPr="00E34E46">
        <w:rPr>
          <w:b/>
          <w:bCs/>
        </w:rPr>
        <w:t>CDPH</w:t>
      </w:r>
      <w:r w:rsidRPr="00E34E46">
        <w:t> </w:t>
      </w:r>
      <w:r w:rsidR="00A01BA9" w:rsidRPr="00E34E46">
        <w:t xml:space="preserve">-- </w:t>
      </w:r>
      <w:r w:rsidRPr="00E34E46">
        <w:t xml:space="preserve">Convention relative aux droits des personnes handicapées des Nations Unies </w:t>
      </w:r>
    </w:p>
    <w:p w14:paraId="5A99D651" w14:textId="74C15982" w:rsidR="00C2678F" w:rsidRPr="00E34E46" w:rsidRDefault="00C2678F" w:rsidP="00FD5AB7">
      <w:pPr>
        <w:ind w:left="720" w:hanging="720"/>
      </w:pPr>
      <w:r w:rsidRPr="00E34E46">
        <w:rPr>
          <w:b/>
          <w:bCs/>
        </w:rPr>
        <w:t>COTS</w:t>
      </w:r>
      <w:r w:rsidRPr="00E34E46">
        <w:t> </w:t>
      </w:r>
      <w:r w:rsidR="00A01BA9" w:rsidRPr="00E34E46">
        <w:t xml:space="preserve">-- </w:t>
      </w:r>
      <w:r w:rsidRPr="00E34E46">
        <w:t>Produits commerciaux prêts à l’emploi</w:t>
      </w:r>
    </w:p>
    <w:p w14:paraId="11234B2C" w14:textId="0C818CAA" w:rsidR="00C2678F" w:rsidRPr="00E34E46" w:rsidRDefault="00C2678F" w:rsidP="00FD5AB7">
      <w:pPr>
        <w:ind w:left="720" w:hanging="720"/>
      </w:pPr>
      <w:r w:rsidRPr="00E34E46">
        <w:rPr>
          <w:b/>
          <w:bCs/>
        </w:rPr>
        <w:t>DDP</w:t>
      </w:r>
      <w:r w:rsidRPr="00E34E46">
        <w:t> </w:t>
      </w:r>
      <w:r w:rsidR="00A01BA9" w:rsidRPr="00E34E46">
        <w:t xml:space="preserve">-- </w:t>
      </w:r>
      <w:r w:rsidRPr="00E34E46">
        <w:t xml:space="preserve">Demande de prix </w:t>
      </w:r>
    </w:p>
    <w:p w14:paraId="12079CBF" w14:textId="1AE15C0B" w:rsidR="00C2678F" w:rsidRPr="00E34E46" w:rsidRDefault="00C2678F" w:rsidP="00FD5AB7">
      <w:pPr>
        <w:ind w:left="720" w:hanging="720"/>
      </w:pPr>
      <w:r w:rsidRPr="00E34E46">
        <w:rPr>
          <w:b/>
          <w:bCs/>
        </w:rPr>
        <w:t>DDR</w:t>
      </w:r>
      <w:r w:rsidRPr="00E34E46">
        <w:t> </w:t>
      </w:r>
      <w:r w:rsidR="00A01BA9" w:rsidRPr="00E34E46">
        <w:t xml:space="preserve">-- </w:t>
      </w:r>
      <w:r w:rsidRPr="00E34E46">
        <w:t xml:space="preserve">Demande de renseignements </w:t>
      </w:r>
    </w:p>
    <w:p w14:paraId="491502FC" w14:textId="25B663AF" w:rsidR="00C2678F" w:rsidRPr="00E34E46" w:rsidRDefault="00C2678F" w:rsidP="00FD5AB7">
      <w:pPr>
        <w:ind w:left="720" w:hanging="720"/>
      </w:pPr>
      <w:r w:rsidRPr="00E34E46">
        <w:rPr>
          <w:b/>
          <w:bCs/>
        </w:rPr>
        <w:t>DNUDPA</w:t>
      </w:r>
      <w:r w:rsidRPr="00E34E46">
        <w:t> </w:t>
      </w:r>
      <w:r w:rsidR="00A01BA9" w:rsidRPr="00E34E46">
        <w:t xml:space="preserve">-- </w:t>
      </w:r>
      <w:r w:rsidRPr="00E34E46">
        <w:t>Déclaration des Nations Unies sur les droits des peuples autochtones</w:t>
      </w:r>
    </w:p>
    <w:p w14:paraId="46204ED8" w14:textId="44F377AA" w:rsidR="00C2678F" w:rsidRPr="00E34E46" w:rsidRDefault="00C2678F" w:rsidP="00FD5AB7">
      <w:pPr>
        <w:ind w:left="720" w:hanging="720"/>
      </w:pPr>
      <w:r w:rsidRPr="00E34E46">
        <w:rPr>
          <w:b/>
          <w:bCs/>
        </w:rPr>
        <w:t>DP</w:t>
      </w:r>
      <w:r w:rsidRPr="00E34E46">
        <w:t> </w:t>
      </w:r>
      <w:r w:rsidR="00A01BA9" w:rsidRPr="00E34E46">
        <w:t xml:space="preserve">-- </w:t>
      </w:r>
      <w:r w:rsidRPr="00E34E46">
        <w:t xml:space="preserve">Demande de propositions </w:t>
      </w:r>
    </w:p>
    <w:p w14:paraId="607D9161" w14:textId="78A0D091" w:rsidR="00C2678F" w:rsidRPr="00E34E46" w:rsidRDefault="00C2678F" w:rsidP="00FD5AB7">
      <w:pPr>
        <w:ind w:left="720" w:hanging="720"/>
      </w:pPr>
      <w:r w:rsidRPr="00E34E46">
        <w:rPr>
          <w:b/>
          <w:bCs/>
        </w:rPr>
        <w:t>ECI</w:t>
      </w:r>
      <w:r w:rsidRPr="00E34E46">
        <w:t> </w:t>
      </w:r>
      <w:r w:rsidR="00A01BA9" w:rsidRPr="00E34E46">
        <w:t xml:space="preserve">-- </w:t>
      </w:r>
      <w:r w:rsidRPr="00E34E46">
        <w:t>Enquête canadienne sur l’incapacité</w:t>
      </w:r>
    </w:p>
    <w:p w14:paraId="4C3F1911" w14:textId="3D53544A" w:rsidR="00C2678F" w:rsidRPr="00E34E46" w:rsidRDefault="00C2678F" w:rsidP="00FD5AB7">
      <w:pPr>
        <w:ind w:left="720" w:hanging="720"/>
      </w:pPr>
      <w:r w:rsidRPr="00E34E46">
        <w:rPr>
          <w:b/>
          <w:bCs/>
        </w:rPr>
        <w:t>EGO</w:t>
      </w:r>
      <w:r w:rsidRPr="00E34E46">
        <w:t> </w:t>
      </w:r>
      <w:r w:rsidR="00A01BA9" w:rsidRPr="00E34E46">
        <w:t xml:space="preserve">-- </w:t>
      </w:r>
      <w:r w:rsidRPr="00E34E46">
        <w:t xml:space="preserve">Équipe de gestion des opérations </w:t>
      </w:r>
    </w:p>
    <w:p w14:paraId="2BB1916C" w14:textId="5A3AAFD3" w:rsidR="00C2678F" w:rsidRPr="00E34E46" w:rsidRDefault="00C2678F" w:rsidP="00FD5AB7">
      <w:pPr>
        <w:ind w:left="720" w:hanging="720"/>
      </w:pPr>
      <w:r w:rsidRPr="00E34E46">
        <w:rPr>
          <w:b/>
          <w:bCs/>
        </w:rPr>
        <w:lastRenderedPageBreak/>
        <w:t>EHD</w:t>
      </w:r>
      <w:r w:rsidRPr="00E34E46">
        <w:t> </w:t>
      </w:r>
      <w:r w:rsidR="00A01BA9" w:rsidRPr="00E34E46">
        <w:t xml:space="preserve">-- </w:t>
      </w:r>
      <w:r w:rsidRPr="00E34E46">
        <w:t xml:space="preserve">Équipe de la haute direction </w:t>
      </w:r>
    </w:p>
    <w:p w14:paraId="56249375" w14:textId="7DC88CF2" w:rsidR="00C2678F" w:rsidRPr="00E34E46" w:rsidRDefault="00C2678F" w:rsidP="00FD5AB7">
      <w:pPr>
        <w:ind w:left="720" w:hanging="720"/>
      </w:pPr>
      <w:r w:rsidRPr="00E34E46">
        <w:rPr>
          <w:b/>
          <w:bCs/>
        </w:rPr>
        <w:t>ETSI</w:t>
      </w:r>
      <w:r w:rsidRPr="00E34E46">
        <w:t> </w:t>
      </w:r>
      <w:r w:rsidR="00A01BA9" w:rsidRPr="00E34E46">
        <w:t xml:space="preserve">-- </w:t>
      </w:r>
      <w:r w:rsidRPr="00E34E46">
        <w:t xml:space="preserve">Institut européen des normes de télécommunication </w:t>
      </w:r>
    </w:p>
    <w:p w14:paraId="5439C452" w14:textId="238E7176" w:rsidR="00C2678F" w:rsidRPr="00E34E46" w:rsidRDefault="00C2678F" w:rsidP="00FD5AB7">
      <w:pPr>
        <w:ind w:left="720" w:hanging="720"/>
      </w:pPr>
      <w:r w:rsidRPr="00E34E46">
        <w:rPr>
          <w:b/>
          <w:bCs/>
        </w:rPr>
        <w:t>ÉU</w:t>
      </w:r>
      <w:r w:rsidRPr="00E34E46">
        <w:t> </w:t>
      </w:r>
      <w:r w:rsidR="00A01BA9" w:rsidRPr="00E34E46">
        <w:t xml:space="preserve">-- </w:t>
      </w:r>
      <w:r w:rsidRPr="00E34E46">
        <w:t>États-Unis</w:t>
      </w:r>
    </w:p>
    <w:p w14:paraId="472D6F4E" w14:textId="50742993" w:rsidR="00C2678F" w:rsidRPr="00E34E46" w:rsidRDefault="00C2678F" w:rsidP="00FD5AB7">
      <w:pPr>
        <w:ind w:left="720" w:hanging="720"/>
      </w:pPr>
      <w:r w:rsidRPr="00E34E46">
        <w:rPr>
          <w:b/>
          <w:bCs/>
        </w:rPr>
        <w:t>G3ict</w:t>
      </w:r>
      <w:r w:rsidRPr="00E34E46">
        <w:t> </w:t>
      </w:r>
      <w:r w:rsidR="00A01BA9" w:rsidRPr="00E34E46">
        <w:t xml:space="preserve">-- </w:t>
      </w:r>
      <w:r w:rsidRPr="00E34E46">
        <w:t>Global Initiative on Information and Communication Technologies</w:t>
      </w:r>
    </w:p>
    <w:p w14:paraId="3513E44B" w14:textId="45D17828" w:rsidR="00C2678F" w:rsidRPr="00E34E46" w:rsidRDefault="00C2678F" w:rsidP="00FD5AB7">
      <w:pPr>
        <w:ind w:left="720" w:hanging="720"/>
      </w:pPr>
      <w:r w:rsidRPr="00E34E46">
        <w:rPr>
          <w:b/>
          <w:bCs/>
        </w:rPr>
        <w:t>GC</w:t>
      </w:r>
      <w:r w:rsidRPr="00E34E46">
        <w:t> </w:t>
      </w:r>
      <w:r w:rsidR="00A01BA9" w:rsidRPr="00E34E46">
        <w:t xml:space="preserve">-- </w:t>
      </w:r>
      <w:r w:rsidRPr="00E34E46">
        <w:t>Gouvernement du Canada</w:t>
      </w:r>
    </w:p>
    <w:p w14:paraId="5729ECBC" w14:textId="013BEF9D" w:rsidR="00C2678F" w:rsidRPr="00E34E46" w:rsidRDefault="00C2678F" w:rsidP="00FD5AB7">
      <w:pPr>
        <w:ind w:left="720" w:hanging="720"/>
      </w:pPr>
      <w:r w:rsidRPr="00E34E46">
        <w:rPr>
          <w:b/>
          <w:bCs/>
        </w:rPr>
        <w:t>GPP</w:t>
      </w:r>
      <w:r w:rsidRPr="00E34E46">
        <w:t> </w:t>
      </w:r>
      <w:r w:rsidR="00A01BA9" w:rsidRPr="00E34E46">
        <w:t xml:space="preserve">-- </w:t>
      </w:r>
      <w:r w:rsidRPr="00E34E46">
        <w:t>Marchés publics écologiques (Green Public Procurement)</w:t>
      </w:r>
    </w:p>
    <w:p w14:paraId="7E6BB9D1" w14:textId="571E905D" w:rsidR="00C2678F" w:rsidRPr="00E34E46" w:rsidRDefault="00C2678F" w:rsidP="00FD5AB7">
      <w:pPr>
        <w:ind w:left="720" w:hanging="720"/>
      </w:pPr>
      <w:r w:rsidRPr="00E34E46">
        <w:rPr>
          <w:b/>
          <w:bCs/>
        </w:rPr>
        <w:t>HLCM</w:t>
      </w:r>
      <w:r w:rsidRPr="00E34E46">
        <w:t> </w:t>
      </w:r>
      <w:r w:rsidR="00A01BA9" w:rsidRPr="00E34E46">
        <w:t xml:space="preserve">-- </w:t>
      </w:r>
      <w:r w:rsidRPr="00E34E46">
        <w:t xml:space="preserve">Comité de haut niveau sur la gestion </w:t>
      </w:r>
    </w:p>
    <w:p w14:paraId="05C478BF" w14:textId="06D33C7E" w:rsidR="00C2678F" w:rsidRPr="00E34E46" w:rsidRDefault="00C2678F" w:rsidP="00FD5AB7">
      <w:pPr>
        <w:ind w:left="720" w:hanging="720"/>
      </w:pPr>
      <w:r w:rsidRPr="00E34E46">
        <w:rPr>
          <w:b/>
          <w:bCs/>
        </w:rPr>
        <w:t>IAAP</w:t>
      </w:r>
      <w:r w:rsidRPr="00E34E46">
        <w:t> </w:t>
      </w:r>
      <w:r w:rsidR="00A01BA9" w:rsidRPr="00E34E46">
        <w:t xml:space="preserve">-- </w:t>
      </w:r>
      <w:r w:rsidRPr="00E34E46">
        <w:t xml:space="preserve">Certification de l’International Association of </w:t>
      </w:r>
      <w:proofErr w:type="spellStart"/>
      <w:r w:rsidRPr="00E34E46">
        <w:t>Accessibility</w:t>
      </w:r>
      <w:proofErr w:type="spellEnd"/>
      <w:r w:rsidRPr="00E34E46">
        <w:t xml:space="preserve"> Professionals</w:t>
      </w:r>
    </w:p>
    <w:p w14:paraId="5D58E790" w14:textId="2D431CBD" w:rsidR="00C2678F" w:rsidRPr="00E34E46" w:rsidRDefault="00C2678F" w:rsidP="00FD5AB7">
      <w:pPr>
        <w:ind w:left="720" w:hanging="720"/>
      </w:pPr>
      <w:r w:rsidRPr="00E34E46">
        <w:rPr>
          <w:b/>
          <w:bCs/>
        </w:rPr>
        <w:t>Ibidem</w:t>
      </w:r>
      <w:r w:rsidRPr="00E34E46">
        <w:t> </w:t>
      </w:r>
      <w:r w:rsidR="00A01BA9" w:rsidRPr="00E34E46">
        <w:t xml:space="preserve">-- </w:t>
      </w:r>
      <w:r w:rsidRPr="00E34E46">
        <w:t>Au même endroit, dans le même passage</w:t>
      </w:r>
    </w:p>
    <w:p w14:paraId="36B877A6" w14:textId="21422255" w:rsidR="00C2678F" w:rsidRPr="00E34E46" w:rsidRDefault="00C2678F" w:rsidP="00FD5AB7">
      <w:pPr>
        <w:ind w:left="720" w:hanging="720"/>
      </w:pPr>
      <w:r w:rsidRPr="00E34E46">
        <w:rPr>
          <w:b/>
          <w:bCs/>
        </w:rPr>
        <w:t>ICT</w:t>
      </w:r>
      <w:r w:rsidRPr="00E34E46">
        <w:t> </w:t>
      </w:r>
      <w:r w:rsidR="00A01BA9" w:rsidRPr="00E34E46">
        <w:t xml:space="preserve">-- </w:t>
      </w:r>
      <w:r w:rsidRPr="00E34E46">
        <w:t>Technologie de l’information et des communications</w:t>
      </w:r>
    </w:p>
    <w:p w14:paraId="5DD2EA34" w14:textId="637BA724" w:rsidR="00C2678F" w:rsidRPr="00E34E46" w:rsidRDefault="00C2678F" w:rsidP="00FD5AB7">
      <w:pPr>
        <w:ind w:left="720" w:hanging="720"/>
      </w:pPr>
      <w:r w:rsidRPr="00E34E46">
        <w:rPr>
          <w:b/>
          <w:bCs/>
        </w:rPr>
        <w:t>IRC</w:t>
      </w:r>
      <w:r w:rsidRPr="00E34E46">
        <w:t> </w:t>
      </w:r>
      <w:r w:rsidR="00A01BA9" w:rsidRPr="00E34E46">
        <w:t xml:space="preserve">-- </w:t>
      </w:r>
      <w:r w:rsidRPr="00E34E46">
        <w:t xml:space="preserve">Indicateurs de rendement clés </w:t>
      </w:r>
    </w:p>
    <w:p w14:paraId="7F6FB0FE" w14:textId="406F5892" w:rsidR="00C2678F" w:rsidRPr="00E34E46" w:rsidRDefault="00C2678F" w:rsidP="00FD5AB7">
      <w:pPr>
        <w:ind w:left="720" w:hanging="720"/>
      </w:pPr>
      <w:r w:rsidRPr="00E34E46">
        <w:rPr>
          <w:b/>
          <w:bCs/>
        </w:rPr>
        <w:t>ISO</w:t>
      </w:r>
      <w:r w:rsidRPr="00E34E46">
        <w:t> </w:t>
      </w:r>
      <w:r w:rsidR="00A01BA9" w:rsidRPr="00E34E46">
        <w:t xml:space="preserve">-- </w:t>
      </w:r>
      <w:r w:rsidRPr="00E34E46">
        <w:t>Organisation internationale de normalisation</w:t>
      </w:r>
    </w:p>
    <w:p w14:paraId="7AE5F3E2" w14:textId="3244AFEC" w:rsidR="00C2678F" w:rsidRPr="00E34E46" w:rsidRDefault="00C2678F" w:rsidP="00FD5AB7">
      <w:pPr>
        <w:ind w:left="720" w:hanging="720"/>
      </w:pPr>
      <w:r w:rsidRPr="00E34E46">
        <w:rPr>
          <w:b/>
          <w:bCs/>
        </w:rPr>
        <w:t>IWSCC</w:t>
      </w:r>
      <w:r w:rsidRPr="00E34E46">
        <w:t> </w:t>
      </w:r>
      <w:r w:rsidR="00A01BA9" w:rsidRPr="00E34E46">
        <w:t xml:space="preserve">-- </w:t>
      </w:r>
      <w:r w:rsidRPr="00E34E46">
        <w:t xml:space="preserve">Inclusive Workplace and </w:t>
      </w:r>
      <w:proofErr w:type="spellStart"/>
      <w:r w:rsidRPr="00E34E46">
        <w:t>Supply</w:t>
      </w:r>
      <w:proofErr w:type="spellEnd"/>
      <w:r w:rsidRPr="00E34E46">
        <w:t xml:space="preserve"> Council of Canada</w:t>
      </w:r>
    </w:p>
    <w:p w14:paraId="62CA2FCB" w14:textId="3E36FC6E" w:rsidR="00C2678F" w:rsidRPr="00E34E46" w:rsidRDefault="00C2678F" w:rsidP="00FD5AB7">
      <w:pPr>
        <w:ind w:left="720" w:hanging="720"/>
      </w:pPr>
      <w:r w:rsidRPr="00E34E46">
        <w:rPr>
          <w:b/>
          <w:bCs/>
        </w:rPr>
        <w:lastRenderedPageBreak/>
        <w:t>LAPHO</w:t>
      </w:r>
      <w:r w:rsidRPr="00E34E46">
        <w:t> </w:t>
      </w:r>
      <w:r w:rsidR="00A01BA9" w:rsidRPr="00E34E46">
        <w:t xml:space="preserve">-- </w:t>
      </w:r>
      <w:r w:rsidRPr="00E34E46">
        <w:rPr>
          <w:i/>
          <w:iCs/>
        </w:rPr>
        <w:t>Loi sur l’accessibilité pour les personnes handicapées de l’Ontario</w:t>
      </w:r>
    </w:p>
    <w:p w14:paraId="019860FB" w14:textId="1728F4EE" w:rsidR="00C2678F" w:rsidRPr="00E34E46" w:rsidRDefault="00C2678F" w:rsidP="00FD5AB7">
      <w:pPr>
        <w:ind w:left="720" w:hanging="720"/>
      </w:pPr>
      <w:r w:rsidRPr="00E34E46">
        <w:rPr>
          <w:b/>
          <w:bCs/>
        </w:rPr>
        <w:t>LCA</w:t>
      </w:r>
      <w:r w:rsidRPr="00E34E46">
        <w:t> </w:t>
      </w:r>
      <w:r w:rsidR="00A01BA9" w:rsidRPr="00E34E46">
        <w:t xml:space="preserve">-- </w:t>
      </w:r>
      <w:r w:rsidRPr="00E34E46">
        <w:rPr>
          <w:i/>
          <w:iCs/>
        </w:rPr>
        <w:t>Loi canadienne sur l’accessibilité</w:t>
      </w:r>
    </w:p>
    <w:p w14:paraId="4DCD35AE" w14:textId="7F41D034" w:rsidR="00C2678F" w:rsidRPr="00E34E46" w:rsidRDefault="00C2678F" w:rsidP="00FD5AB7">
      <w:pPr>
        <w:ind w:left="720" w:hanging="720"/>
      </w:pPr>
      <w:r w:rsidRPr="00E34E46">
        <w:rPr>
          <w:b/>
          <w:bCs/>
        </w:rPr>
        <w:t>NAC</w:t>
      </w:r>
      <w:r w:rsidRPr="00E34E46">
        <w:t> </w:t>
      </w:r>
      <w:r w:rsidR="00A01BA9" w:rsidRPr="00E34E46">
        <w:t xml:space="preserve">-- </w:t>
      </w:r>
      <w:r w:rsidRPr="00E34E46">
        <w:t>Normes d’accessibilité Canada</w:t>
      </w:r>
    </w:p>
    <w:p w14:paraId="54912C67" w14:textId="358BE611" w:rsidR="00C2678F" w:rsidRPr="00E34E46" w:rsidRDefault="00C2678F" w:rsidP="00FD5AB7">
      <w:pPr>
        <w:ind w:left="720" w:hanging="720"/>
      </w:pPr>
      <w:r w:rsidRPr="00E34E46">
        <w:rPr>
          <w:b/>
          <w:bCs/>
        </w:rPr>
        <w:t>OMC</w:t>
      </w:r>
      <w:r w:rsidRPr="00E34E46">
        <w:t> </w:t>
      </w:r>
      <w:r w:rsidR="00A01BA9" w:rsidRPr="00E34E46">
        <w:t xml:space="preserve">-- </w:t>
      </w:r>
      <w:r w:rsidRPr="00E34E46">
        <w:t xml:space="preserve">Organisation mondiale du commerce </w:t>
      </w:r>
    </w:p>
    <w:p w14:paraId="606148B4" w14:textId="5ED4B292" w:rsidR="00C2678F" w:rsidRPr="00E34E46" w:rsidRDefault="00C2678F" w:rsidP="00FD5AB7">
      <w:pPr>
        <w:ind w:left="720" w:hanging="720"/>
      </w:pPr>
      <w:r w:rsidRPr="00E34E46">
        <w:rPr>
          <w:b/>
          <w:bCs/>
        </w:rPr>
        <w:t>ONU</w:t>
      </w:r>
      <w:r w:rsidRPr="00E34E46">
        <w:t> </w:t>
      </w:r>
      <w:r w:rsidR="00A01BA9" w:rsidRPr="00E34E46">
        <w:t xml:space="preserve">-- </w:t>
      </w:r>
      <w:r w:rsidRPr="00E34E46">
        <w:t>Organisation des Nations Unies</w:t>
      </w:r>
    </w:p>
    <w:p w14:paraId="0F2F00B4" w14:textId="4A7739BA" w:rsidR="00C2678F" w:rsidRPr="00E34E46" w:rsidRDefault="00C2678F" w:rsidP="00FD5AB7">
      <w:pPr>
        <w:ind w:left="720" w:hanging="720"/>
      </w:pPr>
      <w:r w:rsidRPr="00E34E46">
        <w:rPr>
          <w:b/>
          <w:bCs/>
        </w:rPr>
        <w:t>PDG</w:t>
      </w:r>
      <w:r w:rsidRPr="00E34E46">
        <w:t> </w:t>
      </w:r>
      <w:r w:rsidR="00A01BA9" w:rsidRPr="00E34E46">
        <w:t xml:space="preserve">-- </w:t>
      </w:r>
      <w:r w:rsidRPr="00E34E46">
        <w:t>Président et chef de la direction</w:t>
      </w:r>
    </w:p>
    <w:p w14:paraId="193AAEAB" w14:textId="277E64D0" w:rsidR="00C2678F" w:rsidRPr="00E34E46" w:rsidRDefault="00C2678F" w:rsidP="00FD5AB7">
      <w:pPr>
        <w:ind w:left="720" w:hanging="720"/>
      </w:pPr>
      <w:r w:rsidRPr="00E34E46">
        <w:rPr>
          <w:b/>
          <w:bCs/>
        </w:rPr>
        <w:t>PME</w:t>
      </w:r>
      <w:r w:rsidRPr="00E34E46">
        <w:t> </w:t>
      </w:r>
      <w:r w:rsidR="00A01BA9" w:rsidRPr="00E34E46">
        <w:t xml:space="preserve">-- </w:t>
      </w:r>
      <w:r w:rsidRPr="00E34E46">
        <w:t xml:space="preserve">Petites et moyennes entreprises </w:t>
      </w:r>
    </w:p>
    <w:p w14:paraId="7B4B8F37" w14:textId="086C19C3" w:rsidR="00C2678F" w:rsidRPr="00E34E46" w:rsidRDefault="00C2678F" w:rsidP="00FD5AB7">
      <w:pPr>
        <w:ind w:left="720" w:hanging="720"/>
      </w:pPr>
      <w:r w:rsidRPr="00E34E46">
        <w:rPr>
          <w:b/>
          <w:bCs/>
        </w:rPr>
        <w:t>PPP</w:t>
      </w:r>
      <w:r w:rsidRPr="00E34E46">
        <w:t> </w:t>
      </w:r>
      <w:r w:rsidR="00A01BA9" w:rsidRPr="00E34E46">
        <w:t xml:space="preserve">-- </w:t>
      </w:r>
      <w:r w:rsidRPr="00E34E46">
        <w:t>Partenariat public-privé</w:t>
      </w:r>
    </w:p>
    <w:p w14:paraId="5D8190E0" w14:textId="70F0D8BE" w:rsidR="00C2678F" w:rsidRPr="00E34E46" w:rsidRDefault="00C2678F" w:rsidP="00FD5AB7">
      <w:pPr>
        <w:ind w:left="720" w:hanging="720"/>
      </w:pPr>
      <w:r w:rsidRPr="00E34E46">
        <w:rPr>
          <w:b/>
          <w:bCs/>
        </w:rPr>
        <w:t>PSH</w:t>
      </w:r>
      <w:r w:rsidRPr="00E34E46">
        <w:t> </w:t>
      </w:r>
      <w:r w:rsidR="00A01BA9" w:rsidRPr="00E34E46">
        <w:t xml:space="preserve">-- </w:t>
      </w:r>
      <w:r w:rsidRPr="00E34E46">
        <w:t xml:space="preserve">Personnes en situation de handicap </w:t>
      </w:r>
    </w:p>
    <w:p w14:paraId="4E9FD2AA" w14:textId="62094BE8" w:rsidR="00C2678F" w:rsidRPr="00E34E46" w:rsidRDefault="00C2678F" w:rsidP="00FD5AB7">
      <w:pPr>
        <w:ind w:left="720" w:hanging="720"/>
      </w:pPr>
      <w:proofErr w:type="spellStart"/>
      <w:r w:rsidRPr="00E34E46">
        <w:rPr>
          <w:b/>
          <w:bCs/>
        </w:rPr>
        <w:t>Règl</w:t>
      </w:r>
      <w:proofErr w:type="spellEnd"/>
      <w:r w:rsidRPr="00E34E46">
        <w:rPr>
          <w:b/>
          <w:bCs/>
        </w:rPr>
        <w:t xml:space="preserve">. </w:t>
      </w:r>
      <w:proofErr w:type="gramStart"/>
      <w:r w:rsidRPr="00E34E46">
        <w:rPr>
          <w:b/>
          <w:bCs/>
        </w:rPr>
        <w:t>de</w:t>
      </w:r>
      <w:proofErr w:type="gramEnd"/>
      <w:r w:rsidRPr="00E34E46">
        <w:rPr>
          <w:b/>
          <w:bCs/>
        </w:rPr>
        <w:t xml:space="preserve"> l’Ont.</w:t>
      </w:r>
      <w:r w:rsidRPr="00E34E46">
        <w:t> </w:t>
      </w:r>
      <w:r w:rsidR="00A01BA9" w:rsidRPr="00E34E46">
        <w:t xml:space="preserve">-- </w:t>
      </w:r>
      <w:r w:rsidRPr="00E34E46">
        <w:t xml:space="preserve">Règlement de l’Ontario </w:t>
      </w:r>
    </w:p>
    <w:p w14:paraId="6461B62C" w14:textId="03523098" w:rsidR="00C2678F" w:rsidRPr="00E34E46" w:rsidRDefault="00C2678F" w:rsidP="00FD5AB7">
      <w:pPr>
        <w:ind w:left="720" w:hanging="720"/>
      </w:pPr>
      <w:r w:rsidRPr="00E34E46">
        <w:rPr>
          <w:b/>
          <w:bCs/>
        </w:rPr>
        <w:t>RNAI</w:t>
      </w:r>
      <w:r w:rsidRPr="00E34E46">
        <w:t> </w:t>
      </w:r>
      <w:r w:rsidR="00A01BA9" w:rsidRPr="00E34E46">
        <w:t xml:space="preserve">-- </w:t>
      </w:r>
      <w:r w:rsidRPr="00E34E46">
        <w:t xml:space="preserve">Règlement sur les normes d’accessibilité intégrées </w:t>
      </w:r>
    </w:p>
    <w:p w14:paraId="13969DD7" w14:textId="64C000B5" w:rsidR="00C2678F" w:rsidRPr="00E34E46" w:rsidRDefault="00C2678F" w:rsidP="00FD5AB7">
      <w:pPr>
        <w:ind w:left="720" w:hanging="720"/>
      </w:pPr>
      <w:r w:rsidRPr="00E34E46">
        <w:rPr>
          <w:b/>
          <w:bCs/>
        </w:rPr>
        <w:t>RU</w:t>
      </w:r>
      <w:r w:rsidRPr="00E34E46">
        <w:t> </w:t>
      </w:r>
      <w:r w:rsidR="004E37A4" w:rsidRPr="00E34E46">
        <w:t xml:space="preserve">-- </w:t>
      </w:r>
      <w:r w:rsidRPr="00E34E46">
        <w:t xml:space="preserve">Royaume-Uni </w:t>
      </w:r>
    </w:p>
    <w:p w14:paraId="1431EB25" w14:textId="17968925" w:rsidR="00C2678F" w:rsidRPr="00E34E46" w:rsidRDefault="00C2678F" w:rsidP="00FD5AB7">
      <w:pPr>
        <w:ind w:left="720" w:hanging="720"/>
      </w:pPr>
      <w:r w:rsidRPr="00E34E46">
        <w:rPr>
          <w:b/>
          <w:bCs/>
        </w:rPr>
        <w:t>s. d.</w:t>
      </w:r>
      <w:r w:rsidRPr="00E34E46">
        <w:t> </w:t>
      </w:r>
      <w:r w:rsidR="004E37A4" w:rsidRPr="00E34E46">
        <w:t xml:space="preserve">-- </w:t>
      </w:r>
      <w:r w:rsidRPr="00E34E46">
        <w:t>Aucune date connue ou trouvée</w:t>
      </w:r>
    </w:p>
    <w:p w14:paraId="5A169A18" w14:textId="1C7FD5D6" w:rsidR="00C2678F" w:rsidRPr="00E34E46" w:rsidRDefault="00C2678F" w:rsidP="00FD5AB7">
      <w:pPr>
        <w:ind w:left="720" w:hanging="720"/>
      </w:pPr>
      <w:r w:rsidRPr="00E34E46">
        <w:rPr>
          <w:b/>
          <w:bCs/>
        </w:rPr>
        <w:lastRenderedPageBreak/>
        <w:t>SA</w:t>
      </w:r>
      <w:r w:rsidRPr="00E34E46">
        <w:t> </w:t>
      </w:r>
      <w:r w:rsidR="004E37A4" w:rsidRPr="00E34E46">
        <w:t xml:space="preserve">-- </w:t>
      </w:r>
      <w:r w:rsidRPr="00E34E46">
        <w:t xml:space="preserve">Standards </w:t>
      </w:r>
      <w:proofErr w:type="spellStart"/>
      <w:r w:rsidRPr="00E34E46">
        <w:t>Australia</w:t>
      </w:r>
      <w:proofErr w:type="spellEnd"/>
      <w:r w:rsidRPr="00E34E46">
        <w:t xml:space="preserve"> </w:t>
      </w:r>
    </w:p>
    <w:p w14:paraId="302278A4" w14:textId="2CB2F756" w:rsidR="00C2678F" w:rsidRPr="00E34E46" w:rsidRDefault="00C2678F" w:rsidP="00FD5AB7">
      <w:pPr>
        <w:ind w:left="720" w:hanging="720"/>
      </w:pPr>
      <w:r w:rsidRPr="00E34E46">
        <w:rPr>
          <w:b/>
          <w:bCs/>
        </w:rPr>
        <w:t>TI</w:t>
      </w:r>
      <w:r w:rsidRPr="00E34E46">
        <w:t> </w:t>
      </w:r>
      <w:r w:rsidR="004E37A4" w:rsidRPr="00E34E46">
        <w:t xml:space="preserve">-- </w:t>
      </w:r>
      <w:r w:rsidRPr="00E34E46">
        <w:t>Technologie de l’information</w:t>
      </w:r>
    </w:p>
    <w:p w14:paraId="357AF0F6" w14:textId="375F6D7B" w:rsidR="00C2678F" w:rsidRPr="00E34E46" w:rsidRDefault="00C2678F" w:rsidP="00FD5AB7">
      <w:pPr>
        <w:ind w:left="720" w:hanging="720"/>
      </w:pPr>
      <w:r w:rsidRPr="00E34E46">
        <w:rPr>
          <w:b/>
          <w:bCs/>
        </w:rPr>
        <w:t>UNDIS</w:t>
      </w:r>
      <w:r w:rsidRPr="00E34E46">
        <w:t> </w:t>
      </w:r>
      <w:r w:rsidR="004E37A4" w:rsidRPr="00E34E46">
        <w:t xml:space="preserve">-- </w:t>
      </w:r>
      <w:r w:rsidRPr="00E34E46">
        <w:t xml:space="preserve">Stratégie des Nations Unies pour l’inclusion du handicap </w:t>
      </w:r>
    </w:p>
    <w:p w14:paraId="487AEED9" w14:textId="3FF66523" w:rsidR="00C2678F" w:rsidRPr="00E34E46" w:rsidRDefault="00C2678F" w:rsidP="00FD5AB7">
      <w:pPr>
        <w:ind w:left="720" w:hanging="720"/>
      </w:pPr>
      <w:r w:rsidRPr="00E34E46">
        <w:rPr>
          <w:b/>
          <w:bCs/>
        </w:rPr>
        <w:t>VPAT</w:t>
      </w:r>
      <w:r w:rsidRPr="00E34E46">
        <w:t> </w:t>
      </w:r>
      <w:r w:rsidR="004E37A4" w:rsidRPr="00E34E46">
        <w:t xml:space="preserve">-- </w:t>
      </w:r>
      <w:r w:rsidRPr="00E34E46">
        <w:t xml:space="preserve">Modèle volontaire d’accessibilité des produits </w:t>
      </w:r>
    </w:p>
    <w:p w14:paraId="2F29E0BC" w14:textId="32A04C1F" w:rsidR="00C2678F" w:rsidRPr="00E34E46" w:rsidRDefault="00C2678F" w:rsidP="00FD5AB7">
      <w:pPr>
        <w:ind w:left="720" w:hanging="720"/>
      </w:pPr>
      <w:r w:rsidRPr="00E34E46">
        <w:rPr>
          <w:b/>
          <w:bCs/>
        </w:rPr>
        <w:t>WCAG</w:t>
      </w:r>
      <w:r w:rsidRPr="00E34E46">
        <w:t> </w:t>
      </w:r>
      <w:r w:rsidR="004E37A4" w:rsidRPr="00E34E46">
        <w:t xml:space="preserve">-- </w:t>
      </w:r>
      <w:r w:rsidRPr="00E34E46">
        <w:t xml:space="preserve">Règles pour l’accessibilité des contenus Web </w:t>
      </w:r>
    </w:p>
    <w:p w14:paraId="679A71F9" w14:textId="77777777" w:rsidR="00425733" w:rsidRPr="00E34E46" w:rsidRDefault="00425733" w:rsidP="00425733">
      <w:pPr>
        <w:spacing w:before="0" w:after="160" w:line="259" w:lineRule="auto"/>
        <w:ind w:firstLine="0"/>
        <w:textAlignment w:val="auto"/>
        <w:rPr>
          <w:rFonts w:cstheme="majorBidi"/>
          <w:b/>
          <w:bCs/>
          <w:sz w:val="36"/>
          <w:szCs w:val="36"/>
        </w:rPr>
      </w:pPr>
      <w:r w:rsidRPr="00E34E46">
        <w:br w:type="page"/>
      </w:r>
    </w:p>
    <w:p w14:paraId="736C19E2" w14:textId="4B75CA34" w:rsidR="00151C6D" w:rsidRPr="00E34E46" w:rsidRDefault="008F4B0A" w:rsidP="00B56537">
      <w:pPr>
        <w:pStyle w:val="Heading2"/>
      </w:pPr>
      <w:bookmarkStart w:id="36" w:name="_Toc168722500"/>
      <w:bookmarkStart w:id="37" w:name="_Toc224836475"/>
      <w:bookmarkStart w:id="38" w:name="_Toc224836703"/>
      <w:r w:rsidRPr="00E34E46">
        <w:lastRenderedPageBreak/>
        <w:t>Chapitre 1 : Introduction</w:t>
      </w:r>
      <w:bookmarkEnd w:id="36"/>
      <w:bookmarkEnd w:id="37"/>
      <w:bookmarkEnd w:id="38"/>
      <w:r w:rsidRPr="00E34E46">
        <w:t> </w:t>
      </w:r>
    </w:p>
    <w:p w14:paraId="6479E63F" w14:textId="1122F1D3" w:rsidR="00C02659" w:rsidRPr="00E34E46" w:rsidRDefault="00660753" w:rsidP="00B56537">
      <w:r w:rsidRPr="00E34E46">
        <w:t>L’offre de produits et services est essentielle à la pratique commerciale et du secteur public. L’accessibilité et l’inclusion sont primordiales, mais ce sont souvent des éléments négligés du cycle d’approvisionnement. Les changements importants apportés aux politiques gouvernementales et à l’élaboration de nouvelles normes peuvent influencer considérablement les processus d’approvisionnement, comme l’approvisionnement électronique, la décentralisation des achats, les préoccupations découlant du travail des enfants, l’évolution des pratiques industrielles et des marchés, les intérêts publics changeants, les contestations juridiques, et l’application des accords commerciaux (ibidem).</w:t>
      </w:r>
    </w:p>
    <w:p w14:paraId="1529EF30" w14:textId="5ED0F45D" w:rsidR="00151C6D" w:rsidRPr="00E34E46" w:rsidRDefault="00151C6D" w:rsidP="00B56537">
      <w:r w:rsidRPr="00E34E46">
        <w:t xml:space="preserve">De plus, les produits et les services existent sous différentes formes. Mentionnons le matériel informatique et les logiciels (par exemple, les systèmes opérationnels, les outils de prestation de services), les services de planification d’événements (comme l’organisation de réunions, d’ateliers et de conférences), les services de conseil, ainsi que l’acquisition de bâtiments, d’installations, de véhicules et bien plus encore. Le lien entre </w:t>
      </w:r>
      <w:r w:rsidRPr="00E34E46">
        <w:lastRenderedPageBreak/>
        <w:t>l’approvisionnement et l’accessibilité s’inscrit dans le contexte des lois sur l’accessibilité, comme l’</w:t>
      </w:r>
      <w:r w:rsidRPr="00E34E46">
        <w:rPr>
          <w:i/>
          <w:iCs/>
        </w:rPr>
        <w:t xml:space="preserve">Americans </w:t>
      </w:r>
      <w:proofErr w:type="spellStart"/>
      <w:r w:rsidRPr="00E34E46">
        <w:rPr>
          <w:i/>
          <w:iCs/>
        </w:rPr>
        <w:t>with</w:t>
      </w:r>
      <w:proofErr w:type="spellEnd"/>
      <w:r w:rsidRPr="00E34E46">
        <w:rPr>
          <w:i/>
          <w:iCs/>
        </w:rPr>
        <w:t xml:space="preserve"> </w:t>
      </w:r>
      <w:proofErr w:type="spellStart"/>
      <w:r w:rsidRPr="00E34E46">
        <w:rPr>
          <w:i/>
          <w:iCs/>
        </w:rPr>
        <w:t>Disabilities</w:t>
      </w:r>
      <w:proofErr w:type="spellEnd"/>
      <w:r w:rsidRPr="00E34E46">
        <w:rPr>
          <w:i/>
          <w:iCs/>
        </w:rPr>
        <w:t xml:space="preserve"> </w:t>
      </w:r>
      <w:proofErr w:type="spellStart"/>
      <w:r w:rsidRPr="00E34E46">
        <w:rPr>
          <w:i/>
          <w:iCs/>
        </w:rPr>
        <w:t>Act</w:t>
      </w:r>
      <w:proofErr w:type="spellEnd"/>
      <w:r w:rsidRPr="00E34E46">
        <w:t xml:space="preserve"> (1990) et la </w:t>
      </w:r>
      <w:r w:rsidRPr="00E34E46">
        <w:rPr>
          <w:i/>
          <w:iCs/>
        </w:rPr>
        <w:t>Loi sur l’accessibilité pour les personnes handicapées de l’Ontario</w:t>
      </w:r>
      <w:r w:rsidRPr="00E34E46">
        <w:t xml:space="preserve"> (2005). Au cours de cette période, ces exigences législatives initiales ont été axées sur la conformité, par exemple en ce qui concerne l’emploi de personnes en situation de handicap ou l’achat de services pour répondre aux besoins des personnes en situation de handicap, plutôt que sur l’intégration d’exigences claires et rigoureuses en matière d’accessibilité dans l’approvisionnement (Boyle, 2009). En raison de la nature technique des pratiques d’approvisionnement, ce domaine de l’accessibilité n’a pas fait l’objet d’autant d’exploration ou d’attention de la part du public que d’autres domaines, tels que l’environnement bâti, les TIC, les transports ou les obstacles comportementaux.</w:t>
      </w:r>
    </w:p>
    <w:p w14:paraId="37A29383" w14:textId="110D5C82" w:rsidR="00B51C62" w:rsidRPr="00E34E46" w:rsidRDefault="00151C6D" w:rsidP="00B56537">
      <w:r w:rsidRPr="00E34E46">
        <w:t xml:space="preserve">Au niveau mondial, les multinationales qui respectent les normes d’accessibilité peuvent promouvoir l’accessibilité et l’inclusion des personnes en situation de handicap à l’échelle locale. Qu’une organisation ou une entité du secteur public achète un produit ou un service, l’approvisionnement répond à un besoin essentiel et vient renforcer un milieu de travail inclusif. </w:t>
      </w:r>
      <w:r w:rsidRPr="00E34E46">
        <w:lastRenderedPageBreak/>
        <w:t>Par exemple, une enquête menée en 2021 par G3ict, Level Access et l’IAAP, à laquelle ont participé 1 087 répondants d’entreprises et d’organisations américaines et internationales, a révélé que la principale motivation des organisations pour accorder leur attention à la question de l’accessibilité est l’inclusion des personnes en situation de handicap. Cette tendance a été de plus en plus signalée au cours des trois dernières années, de 2019 à 2021 (G3ict et coll., 2022). Il s’agit de résultats secondaires ou indirects des pratiques d’achat connues sous le nom de politiques horizontales, dans le cadre de l’approvisionnement axé sur la valeur (Arrowsmith et Kunzlik, 2009; Garvey, 2016).</w:t>
      </w:r>
    </w:p>
    <w:p w14:paraId="7C60F661" w14:textId="2EE1A639" w:rsidR="000B0525" w:rsidRPr="00E34E46" w:rsidRDefault="00EA2FD7" w:rsidP="00B56537">
      <w:r w:rsidRPr="00E34E46">
        <w:t>Pourtant, les motivations de l’approvisionnement accessible sont déterminées par le risque juridique et diffèrent d’un pays à l’autre. Les préoccupations de risques juridiques incluent les changements législatifs et réglementaires; l’inquiétude à l’égard de litiges croissants; des poursuites visant des entreprises issues d’autres secteurs; la réception d’une lettre de mise en demeure ou d’une plainte officielle, des poursuites visant des concurrents directs ou des poursuites contre l’entreprise ou l’organisation elle-même (G3ict et Level Access, 2020).</w:t>
      </w:r>
    </w:p>
    <w:p w14:paraId="749D5A3A" w14:textId="04A3DB16" w:rsidR="00A361D2" w:rsidRPr="00E34E46" w:rsidRDefault="00A361D2" w:rsidP="00B56537">
      <w:r w:rsidRPr="00E34E46">
        <w:lastRenderedPageBreak/>
        <w:t>Par conséquent, il est nécessaire d’effectuer de la recherche sur l’accessibilité et les répercussions de l’approvisionnement accessible sur les secteurs public et privé au Canada.</w:t>
      </w:r>
    </w:p>
    <w:p w14:paraId="42DD6C64" w14:textId="1D188DA5" w:rsidR="00C90F34" w:rsidRPr="00E34E46" w:rsidRDefault="00B13BAD" w:rsidP="00B56537">
      <w:r w:rsidRPr="00E34E46">
        <w:t xml:space="preserve">Alors que les lois provinciales sur l’accessibilité sont en rédaction ou en révision à travers le Canada, il faut des directives solides, flexibles et pertinentes pour honorer la </w:t>
      </w:r>
      <w:r w:rsidRPr="00E34E46">
        <w:rPr>
          <w:i/>
        </w:rPr>
        <w:t>Loi canadienne sur l’accessibilité</w:t>
      </w:r>
      <w:r w:rsidRPr="00E34E46">
        <w:t xml:space="preserve"> et accroître la participation des personnes en situation de handicap dans l’économie canadienne et dans leurs communautés. Comme première étape, Normes d’accessibilité Canada a approuvé l’utilisation de la norme européenne harmonisée EN 301 549, qui peut faciliter la normalisation des exigences d’accessibilité pour l’approvisionnement et les technologies de l’information et des communications (TIC), soit la norme CAN/NAC – EN 301 549:2024 (NAC, 2024).</w:t>
      </w:r>
    </w:p>
    <w:p w14:paraId="48766B21" w14:textId="51FEC4B0" w:rsidR="00151C6D" w:rsidRPr="00E34E46" w:rsidRDefault="007F0DF9" w:rsidP="00B56537">
      <w:r w:rsidRPr="00E34E46">
        <w:t xml:space="preserve">La loi fédérale sur l’accessibilité traite de plus en plus de l’accessibilité des systèmes internes dans le secteur public et les secteurs sous réglementation fédérale. Il est ainsi nécessaire de fournir les pratiques les plus récentes fondées sur des données probantes afin que les parties concernées puissent prendre des décisions éclairées concernant l’achat de </w:t>
      </w:r>
      <w:r w:rsidRPr="00E34E46">
        <w:lastRenderedPageBreak/>
        <w:t>biens, de services et d’installations accessibles pour le public et leur personnel.</w:t>
      </w:r>
    </w:p>
    <w:p w14:paraId="01F8B0FA" w14:textId="77777777" w:rsidR="00151C6D" w:rsidRPr="00E34E46" w:rsidRDefault="00151C6D" w:rsidP="00B56537">
      <w:pPr>
        <w:pStyle w:val="Heading3"/>
      </w:pPr>
      <w:bookmarkStart w:id="39" w:name="_Toc210828490"/>
      <w:r w:rsidRPr="00E34E46">
        <w:t>Le contexte canadien</w:t>
      </w:r>
      <w:bookmarkEnd w:id="39"/>
    </w:p>
    <w:p w14:paraId="12231E50" w14:textId="35CC744C" w:rsidR="007968EA" w:rsidRPr="00E34E46" w:rsidRDefault="007F0DF9" w:rsidP="00B56537">
      <w:r w:rsidRPr="00E34E46">
        <w:t>Les pouvoirs de dépense du secteur public sont considérés comme une occasion de changement social et économique important dans des contextes nationaux (Rice, 2015). Précisons que le gouvernement fédéral du Canada achète pour 37 millions de dollars de biens, de services et d’installations (SPAC, 2024). La recherche sur l’approvisionnement public du Canada était d’ailleurs axée sur la réussite de l’approvisionnement de la défense à long terme (</w:t>
      </w:r>
      <w:proofErr w:type="spellStart"/>
      <w:r w:rsidRPr="00E34E46">
        <w:t>Migone</w:t>
      </w:r>
      <w:proofErr w:type="spellEnd"/>
      <w:r w:rsidRPr="00E34E46">
        <w:t xml:space="preserve"> et coll., 2022), sur l’accès aux marchés publics pour les petites et moyennes entreprises et pour les entreprises appartenant à des femmes, sur la création de valeur par les partenariats public-privé et sur l’innovation.</w:t>
      </w:r>
    </w:p>
    <w:p w14:paraId="508AC887" w14:textId="7F9651B6" w:rsidR="00F17516" w:rsidRPr="00E34E46" w:rsidRDefault="00151C6D" w:rsidP="00B56537">
      <w:r w:rsidRPr="00E34E46">
        <w:t xml:space="preserve">Selon l’Enquête canadienne sur l’incapacité de 2022, plus de 27 % de la population canadienne âgée de plus de 15 ans déclare avoir une incapacité visuelle ou auditive, ou les deux (Hebert et coll., 2024). En ce qui concerne les gens de la classe active, soit les personnes âgées de 25 à </w:t>
      </w:r>
      <w:r w:rsidRPr="00E34E46">
        <w:lastRenderedPageBreak/>
        <w:t>64 ans, ce chiffre s’élève à un peu plus de 4,6 millions de Canadiennes et Canadiens (ibidem). Autrement dit, plus d’une personne sur quatre au Canada est susceptible de se heurter à un problème d’accessibilité au moment de se procurer un bien ou un service ou d’accéder à une installation en tant que membre du public.</w:t>
      </w:r>
    </w:p>
    <w:p w14:paraId="3B187201" w14:textId="44C9A59C" w:rsidR="0058530F" w:rsidRPr="00E34E46" w:rsidRDefault="009D3732" w:rsidP="00B56537">
      <w:r w:rsidRPr="00E34E46">
        <w:t>Par ailleurs, parmi les employés de la fonction publique fédérale, c’est un peu plus de 23 000 d’entre eux qui ont déclaré avoir un handicap en 2022 (SCT, 2024); 15 % ont déclaré qu’une question d’accessibilité ou d’adaptation avait eu une incidence sur leur progression de carrière en 2020 et en 2022, un chiffre qui est demeuré inchangé pour les deux périodes du rapport. Cependant, seuls 3 % des employés sans handicap de la fonction publique ont signalé un problème en 2022 (ibidem). Dans le secteur privé sous réglementation fédérale, on compte, dans quatre secteurs industriels, 945 000 personnes employées par 19 000 employeurs (EDSC, 2023). Reconnues comme un groupe d’équité désigné par la</w:t>
      </w:r>
      <w:r w:rsidRPr="00E34E46">
        <w:rPr>
          <w:i/>
          <w:iCs/>
        </w:rPr>
        <w:t xml:space="preserve"> Loi sur l’équité en matière d’emploi,</w:t>
      </w:r>
      <w:r w:rsidRPr="00E34E46">
        <w:t xml:space="preserve"> les personnes en situation de handicap employées en 2021 étaient en hausse de 12,1 %, pour un total de 32 299 employés (EDSC, 2023).</w:t>
      </w:r>
    </w:p>
    <w:p w14:paraId="0B2CFAA7" w14:textId="06E31A22" w:rsidR="000C5ADF" w:rsidRPr="00E34E46" w:rsidRDefault="00151C6D" w:rsidP="00B56537">
      <w:r w:rsidRPr="00E34E46">
        <w:lastRenderedPageBreak/>
        <w:t>Bien que les personnes en situation de handicap représentent 4,4 % de la main-d’œuvre des secteurs réglementés par le fédéral en 2021, ce taux demeure inférieur au taux de disponibilité sur le marché du travail, soit 9,1 % des personnes en situation de handicap au Canada en 2021 (ibidem). De plus, plus de personnes en situation de handicap continuent de quitter le marché du travail que le nombre de nouvelles embauches dans trois des quatre secteurs privés réglementés par le fédéral, l’exception visant le secteur bancaire et financier (ibidem).</w:t>
      </w:r>
    </w:p>
    <w:p w14:paraId="2CEE011A" w14:textId="516E3044" w:rsidR="00137A4A" w:rsidRPr="00E34E46" w:rsidRDefault="00151C6D" w:rsidP="00B56537">
      <w:r w:rsidRPr="00E34E46">
        <w:t>Contrairement aux membres du public qui cherchent à accéder à des biens, à des services et à des installations, pour les employés et les chercheurs d’emploi, l’approvisionnement accessible soutient un milieu de travail inclusif, tout en influençant les processus d’embauche, de maintien en poste du personnel et de promotion dans la progression de la carrière, et ainsi la capacité des employés à jouer pleinement leur rôle dans le lieu de travail. Ces chiffres, ainsi que le vieillissement de la main-d’œuvre, démontrent l’ampleur de la nécessité et de l’importance de la mise en œuvre d’un approvisionnement accessible à l’heure actuelle et dans le futur.</w:t>
      </w:r>
    </w:p>
    <w:p w14:paraId="70ABF95E" w14:textId="0B3E7719" w:rsidR="00151C6D" w:rsidRPr="00E34E46" w:rsidRDefault="00151C6D" w:rsidP="00B56537">
      <w:r w:rsidRPr="00E34E46">
        <w:lastRenderedPageBreak/>
        <w:t>L’objectif du projet est de développer un cadre d’approvisionnement accessible qui sera collaboratif, relationnel et axé sur les pratiques et sur un modèle de réalisation de projet intégré pour le cycle de vie de l’approvisionnement. Cette approche favorise l’établissement de relations avec les fournisseurs potentiels, l’échange de connaissances et de compétences avec les fournisseurs par la promotion de l’accessibilité et la formation à cette fin, l’essai des produits ou des services fournis, et l’accessibilité tout au long de la collaboration et pendant l’intégration et la mise en œuvre du produit ou du service acquis. Nous cherchons à intégrer la conception universelle et l’accessibilité dans la littérature sur l’administration publique et la gestion de projets d’approvisionnement, ce qui manque dans la littérature universitaire à ce jour.</w:t>
      </w:r>
    </w:p>
    <w:p w14:paraId="2D503609" w14:textId="766BBE1D" w:rsidR="00151C6D" w:rsidRPr="00E34E46" w:rsidRDefault="00FB6362" w:rsidP="00B56537">
      <w:r w:rsidRPr="00E34E46">
        <w:t xml:space="preserve">Le Canada a une occasion unique et novatrice d’établir des normes d’accessibilité pour la Loi canadienne sur l’accessibilité afin de donner l’exemple et de mettre en place des normes d’approvisionnement innovantes de première classe, qui tombent à pic (dans le contexte de la pandémie de COVID-19 et de l’après-pandémie) et qui reposent sur des preuves croissantes et sur un cadre de conception universelle. Précisons que l’objectif </w:t>
      </w:r>
      <w:r w:rsidRPr="00E34E46">
        <w:lastRenderedPageBreak/>
        <w:t>de la conception universelle, c’est que tout le monde puisse utiliser un environnement donné (dans ce contexte, la chaîne d’approvisionnement), y compris les personnes en situation de handicap, dans la mesure du possible, sans mesures d’adaptation ou de conception spécialisée (CEUD, 2024). En effet, bien des politiques et des pratiques favorisant en apparence l’accessibilité, lorsqu’elles sont conçues dans l’optique d’une mesure d’adaptation, présentent souvent une rigidité et des obstacles involontaires. Nous proposons ici une approche inclusive et orientée vers la conception universelle, encadrée par la collecte de données fiables en vue de l’élaboration de normes d’approvisionnement accessible au Canada.</w:t>
      </w:r>
    </w:p>
    <w:p w14:paraId="7935B1DC" w14:textId="1E695C0B" w:rsidR="00151C6D" w:rsidRPr="00E34E46" w:rsidRDefault="00867861" w:rsidP="00B56537">
      <w:pPr>
        <w:pStyle w:val="Heading3"/>
      </w:pPr>
      <w:bookmarkStart w:id="40" w:name="_Toc168722502"/>
      <w:bookmarkStart w:id="41" w:name="_Toc210828491"/>
      <w:r w:rsidRPr="00E34E46">
        <w:t>Portée du projet et objectif</w:t>
      </w:r>
      <w:bookmarkEnd w:id="40"/>
      <w:bookmarkEnd w:id="41"/>
    </w:p>
    <w:p w14:paraId="0A606C78" w14:textId="5B38939F" w:rsidR="00151C6D" w:rsidRPr="00E34E46" w:rsidRDefault="00151C6D" w:rsidP="00B56537">
      <w:r w:rsidRPr="00E34E46">
        <w:t xml:space="preserve">Adopter une approche de conception collaborative avec les intervenants pertinents de la fonction publique fédérale et du secteur privé pour formuler des recommandations concernant les modèles d’approvisionnement accessible et de chaînes d’approvisionnement pour la fonction publique fédérale et les autres secteurs sous réglementation fédérale. En ce qui concerne l’élaboration d’un cadre fondé sur des données </w:t>
      </w:r>
      <w:r w:rsidRPr="00E34E46">
        <w:lastRenderedPageBreak/>
        <w:t>probantes pour les normes d’approvisionnement accessible au Canada, nous considérons que les aspects suivants du cycle de vie de l’approvisionnement font partie de la portée du projet : </w:t>
      </w:r>
    </w:p>
    <w:p w14:paraId="302DE394" w14:textId="02EFFAEA" w:rsidR="00151C6D" w:rsidRPr="00E34E46" w:rsidRDefault="00151C6D" w:rsidP="00EB5BEF">
      <w:pPr>
        <w:pStyle w:val="ListParagraph"/>
        <w:numPr>
          <w:ilvl w:val="0"/>
          <w:numId w:val="5"/>
        </w:numPr>
        <w:ind w:hanging="720"/>
      </w:pPr>
      <w:r w:rsidRPr="00E34E46">
        <w:t>Leadership organisationnel et cadres décisionnels;</w:t>
      </w:r>
    </w:p>
    <w:p w14:paraId="6B807024" w14:textId="6F0DE3FB" w:rsidR="00151C6D" w:rsidRPr="00E34E46" w:rsidRDefault="00151C6D" w:rsidP="00EB5BEF">
      <w:pPr>
        <w:pStyle w:val="ListParagraph"/>
        <w:numPr>
          <w:ilvl w:val="0"/>
          <w:numId w:val="5"/>
        </w:numPr>
        <w:ind w:hanging="720"/>
      </w:pPr>
      <w:r w:rsidRPr="00E34E46">
        <w:t>Attitude des organisations à l’égard de l’accessibilité, du handicap et des technologies d’assistance (en fonction des rôles);</w:t>
      </w:r>
    </w:p>
    <w:p w14:paraId="395B0AF1" w14:textId="796D3EC4" w:rsidR="00151C6D" w:rsidRPr="00E34E46" w:rsidRDefault="00151C6D" w:rsidP="00EB5BEF">
      <w:pPr>
        <w:pStyle w:val="ListParagraph"/>
        <w:numPr>
          <w:ilvl w:val="0"/>
          <w:numId w:val="5"/>
        </w:numPr>
        <w:ind w:hanging="720"/>
      </w:pPr>
      <w:r w:rsidRPr="00E34E46">
        <w:t>Établissement de la portée des exigences des produits ou des services (effectuée généralement par l’organisme d’achats) – par exemple, des produits commerciaux prêts à l’emploi, des systèmes existants, des solutions d’entreprise, le développement, la mise à niveau et la maintenance;</w:t>
      </w:r>
    </w:p>
    <w:p w14:paraId="74BF8EBF" w14:textId="454EC1CA" w:rsidR="00151C6D" w:rsidRPr="00E34E46" w:rsidRDefault="00151C6D" w:rsidP="00EB5BEF">
      <w:pPr>
        <w:pStyle w:val="ListParagraph"/>
        <w:numPr>
          <w:ilvl w:val="0"/>
          <w:numId w:val="5"/>
        </w:numPr>
        <w:ind w:hanging="720"/>
      </w:pPr>
      <w:r w:rsidRPr="00E34E46">
        <w:t>Processus de demandes de propositions et de prix, y compris les documents et les présentations des fournisseurs;</w:t>
      </w:r>
    </w:p>
    <w:p w14:paraId="73D4355D" w14:textId="7D26671D" w:rsidR="00151C6D" w:rsidRPr="00E34E46" w:rsidRDefault="00151C6D" w:rsidP="00EB5BEF">
      <w:pPr>
        <w:pStyle w:val="ListParagraph"/>
        <w:numPr>
          <w:ilvl w:val="0"/>
          <w:numId w:val="5"/>
        </w:numPr>
        <w:ind w:hanging="720"/>
      </w:pPr>
      <w:r w:rsidRPr="00E34E46">
        <w:t>Examen de l’accessibilité des rapports sur les produits et services ainsi que des tests internes;</w:t>
      </w:r>
    </w:p>
    <w:p w14:paraId="2F1013EB" w14:textId="086A9D6F" w:rsidR="00151C6D" w:rsidRPr="00E34E46" w:rsidRDefault="00151C6D" w:rsidP="00EB5BEF">
      <w:pPr>
        <w:pStyle w:val="ListParagraph"/>
        <w:numPr>
          <w:ilvl w:val="0"/>
          <w:numId w:val="5"/>
        </w:numPr>
        <w:ind w:hanging="720"/>
      </w:pPr>
      <w:r w:rsidRPr="00E34E46">
        <w:t>Matrices de notation et cadres d’évaluation;</w:t>
      </w:r>
    </w:p>
    <w:p w14:paraId="16D8DDD7" w14:textId="315797E3" w:rsidR="00151C6D" w:rsidRPr="00E34E46" w:rsidRDefault="00151C6D" w:rsidP="00EB5BEF">
      <w:pPr>
        <w:pStyle w:val="ListParagraph"/>
        <w:numPr>
          <w:ilvl w:val="0"/>
          <w:numId w:val="5"/>
        </w:numPr>
        <w:ind w:hanging="720"/>
      </w:pPr>
      <w:r w:rsidRPr="00E34E46">
        <w:lastRenderedPageBreak/>
        <w:t>Négociations contractuelles, y compris le langage contractuel et les points de pression, pouvant entraîner ultérieurement un risque ou une responsabilité, si l’accessibilité n’est pas prise en compte;</w:t>
      </w:r>
    </w:p>
    <w:p w14:paraId="18C32ED0" w14:textId="280DB7F9" w:rsidR="00151C6D" w:rsidRPr="00E34E46" w:rsidRDefault="00151C6D" w:rsidP="00EB5BEF">
      <w:pPr>
        <w:pStyle w:val="ListParagraph"/>
        <w:numPr>
          <w:ilvl w:val="0"/>
          <w:numId w:val="5"/>
        </w:numPr>
        <w:ind w:hanging="720"/>
      </w:pPr>
      <w:r w:rsidRPr="00E34E46">
        <w:t>Intégration des systèmes, formation, et mise en œuvre des produits et services.</w:t>
      </w:r>
    </w:p>
    <w:p w14:paraId="12E7B3C3" w14:textId="4AFCCF10" w:rsidR="00151C6D" w:rsidRPr="00E34E46" w:rsidRDefault="00151C6D" w:rsidP="00B56537">
      <w:pPr>
        <w:pStyle w:val="Heading3"/>
      </w:pPr>
      <w:bookmarkStart w:id="42" w:name="_Toc168722504"/>
      <w:bookmarkStart w:id="43" w:name="_Toc210828492"/>
      <w:r w:rsidRPr="00E34E46">
        <w:t>Piliers du projet</w:t>
      </w:r>
      <w:bookmarkEnd w:id="42"/>
      <w:bookmarkEnd w:id="43"/>
    </w:p>
    <w:p w14:paraId="5DE7FD48" w14:textId="5FA07413" w:rsidR="00151C6D" w:rsidRPr="00E34E46" w:rsidRDefault="00914350" w:rsidP="00B56537">
      <w:r w:rsidRPr="00E34E46">
        <w:t>Lors de la conception de ce projet, nous examinerons des recommandations fondées sur des données probantes en matière de normes d’approvisionnement accessible. Nous y parviendrons grâce à une approche intensive fondée sur la recherche, notamment une conception collaborative qui repose sur des données existantes et sur les perspectives tirées de l’expérience vécue. Nous avons également mené de nouvelles études lorsque des lacunes importantes ont été relevées ou que le corpus de recherche au Canada s’est avéré limité. L’ensemble du projet comporte quatre piliers :</w:t>
      </w:r>
    </w:p>
    <w:p w14:paraId="27EC8AE6" w14:textId="78E9B77A" w:rsidR="00151C6D" w:rsidRPr="00E34E46" w:rsidRDefault="00151C6D" w:rsidP="00EB5BEF">
      <w:pPr>
        <w:pStyle w:val="ListParagraph"/>
        <w:numPr>
          <w:ilvl w:val="0"/>
          <w:numId w:val="6"/>
        </w:numPr>
        <w:ind w:hanging="720"/>
      </w:pPr>
      <w:r w:rsidRPr="00E34E46">
        <w:t xml:space="preserve">La définition des lacunes en matière de connaissances en incluant des analyses environnementales, des analyses documentaires, des études </w:t>
      </w:r>
      <w:r w:rsidRPr="00E34E46">
        <w:lastRenderedPageBreak/>
        <w:t>de cas provenant d’autres territoires ainsi que des recherches primaires.</w:t>
      </w:r>
    </w:p>
    <w:p w14:paraId="389967EE" w14:textId="2991DFE2" w:rsidR="00151C6D" w:rsidRPr="00E34E46" w:rsidRDefault="00151C6D" w:rsidP="00EB5BEF">
      <w:pPr>
        <w:pStyle w:val="ListParagraph"/>
        <w:numPr>
          <w:ilvl w:val="0"/>
          <w:numId w:val="6"/>
        </w:numPr>
        <w:ind w:hanging="720"/>
      </w:pPr>
      <w:r w:rsidRPr="00E34E46">
        <w:t>L’utilisation d’une approche de co-conception, l’évaluation de recommandations basées sur des rôles, industries ou secteurs d’approvisionnement et des personnes ayant une expérience vécue, afin d’aider à répertorier des obstacles à l’approvisionnement accessible et des éléments qui le favorisent.</w:t>
      </w:r>
    </w:p>
    <w:p w14:paraId="7034EF26" w14:textId="5C46B8EB" w:rsidR="00151C6D" w:rsidRPr="00E34E46" w:rsidRDefault="00BB1203" w:rsidP="00EB5BEF">
      <w:pPr>
        <w:pStyle w:val="ListParagraph"/>
        <w:numPr>
          <w:ilvl w:val="0"/>
          <w:numId w:val="6"/>
        </w:numPr>
        <w:ind w:hanging="720"/>
      </w:pPr>
      <w:r w:rsidRPr="00E34E46">
        <w:t>Une étude de cas qui pilote la mise en œuvre de l’approvisionnement accessible avec différentes parties prenantes afin d’identifier de réelles pratiques qui se développent au fil du temps.</w:t>
      </w:r>
    </w:p>
    <w:p w14:paraId="39C76EE7" w14:textId="2030E4B7" w:rsidR="00151C6D" w:rsidRPr="00E34E46" w:rsidRDefault="00F15FE5" w:rsidP="00EB5BEF">
      <w:pPr>
        <w:pStyle w:val="ListParagraph"/>
        <w:numPr>
          <w:ilvl w:val="0"/>
          <w:numId w:val="6"/>
        </w:numPr>
        <w:ind w:hanging="720"/>
      </w:pPr>
      <w:r w:rsidRPr="00E34E46">
        <w:t>L’engagement dans une synthèse des connaissances pour rédiger des recommandations concernant les normes sur l’approvisionnement accessible et les chaînes d’approvisionnement accessible.</w:t>
      </w:r>
    </w:p>
    <w:p w14:paraId="32F6758D" w14:textId="2286D43B" w:rsidR="00151C6D" w:rsidRPr="00E34E46" w:rsidRDefault="00151C6D" w:rsidP="00B56537">
      <w:pPr>
        <w:pStyle w:val="Heading3"/>
      </w:pPr>
      <w:bookmarkStart w:id="44" w:name="_Toc168722505"/>
      <w:bookmarkStart w:id="45" w:name="_Toc210828493"/>
      <w:r w:rsidRPr="00E34E46">
        <w:t>Approche axée</w:t>
      </w:r>
      <w:bookmarkEnd w:id="44"/>
      <w:r w:rsidRPr="00E34E46">
        <w:t xml:space="preserve"> sur les personnes ayant des handicaps sensoriels</w:t>
      </w:r>
      <w:bookmarkEnd w:id="45"/>
    </w:p>
    <w:p w14:paraId="73D0D667" w14:textId="0EC3160D" w:rsidR="00151C6D" w:rsidRPr="00E34E46" w:rsidRDefault="00AB7636" w:rsidP="00B56537">
      <w:r w:rsidRPr="00E34E46">
        <w:t xml:space="preserve">Les handicaps sensoriels (qui touchent un peu moins de 10 % de la population canadienne) et les handicaps liés aux altérations dans le </w:t>
      </w:r>
      <w:r w:rsidRPr="00E34E46">
        <w:lastRenderedPageBreak/>
        <w:t xml:space="preserve">traitement des sens (vision, audition) sont souvent sous-représentés dans la littérature et les processus qui mènent à l’élaboration et à la mise en œuvre des normes. Reposant sur un modèle social du handicap, comme l’expose la </w:t>
      </w:r>
      <w:r w:rsidRPr="00E34E46">
        <w:rPr>
          <w:i/>
          <w:iCs/>
        </w:rPr>
        <w:t>Loi canadienne sur l’accessibilité</w:t>
      </w:r>
      <w:r w:rsidRPr="00E34E46">
        <w:t xml:space="preserve"> (LCA), la proposition vient combler cette lacune bien définie en insistant explicitement sur les handicaps sensoriels et les troubles du traitement de la vue dans le contexte des approches d’approvisionnement, notamment les handicaps liés à la vue et à l’ouïe, les handicaps sensoriels multiples, les troubles de l’apprentissage, la neurodiversité et les lésions cérébrales acquises.</w:t>
      </w:r>
    </w:p>
    <w:p w14:paraId="2DBE2DD9" w14:textId="66872876" w:rsidR="00151C6D" w:rsidRPr="00E34E46" w:rsidRDefault="00151C6D" w:rsidP="00B56537">
      <w:pPr>
        <w:pStyle w:val="Heading3"/>
      </w:pPr>
      <w:bookmarkStart w:id="46" w:name="_Toc168722506"/>
      <w:bookmarkStart w:id="47" w:name="_Toc210828494"/>
      <w:r w:rsidRPr="00E34E46">
        <w:t>Répercussions de la COVID-19</w:t>
      </w:r>
      <w:bookmarkEnd w:id="46"/>
      <w:bookmarkEnd w:id="47"/>
    </w:p>
    <w:p w14:paraId="73F19E31" w14:textId="6D31B4D4" w:rsidR="00151C6D" w:rsidRPr="00E34E46" w:rsidRDefault="00151C6D" w:rsidP="00B56537">
      <w:r w:rsidRPr="00E34E46">
        <w:t xml:space="preserve">Le projet a commencé pendant la pandémie de COVID-19. Vu les mesures de confinement, les activités de recherche et le recrutement de participants étaient limités dans les secteurs public et privé. La réponse du secteur privé a été minime, probablement en raison de la nature des pratiques d’approvisionnement et de la sensibilité des organisations à l’égard de leur niveau d’accessibilité. Malgré une pénurie importante de professionnels spécialisés en approvisionnement accessible, nous avons </w:t>
      </w:r>
      <w:r w:rsidRPr="00E34E46">
        <w:lastRenderedPageBreak/>
        <w:t>échangé et obtenu des réponses de nombreuses personnes désirant en apprendre davantage et impatientes de connaître les résultats du projet d’une durée de deux ans et demi.</w:t>
      </w:r>
    </w:p>
    <w:p w14:paraId="174EBF21" w14:textId="3D2872EC" w:rsidR="00151C6D" w:rsidRPr="00E34E46" w:rsidRDefault="00EE161E" w:rsidP="00B56537">
      <w:pPr>
        <w:pStyle w:val="Heading3"/>
        <w:rPr>
          <w:rFonts w:eastAsia="Times New Roman"/>
        </w:rPr>
      </w:pPr>
      <w:bookmarkStart w:id="48" w:name="_Toc210828495"/>
      <w:r w:rsidRPr="00E34E46">
        <w:t>Aperçu du rapport</w:t>
      </w:r>
      <w:bookmarkEnd w:id="48"/>
    </w:p>
    <w:p w14:paraId="2C8E9DB1" w14:textId="26F32D7E" w:rsidR="008E7E57" w:rsidRPr="00E34E46" w:rsidRDefault="00151C6D" w:rsidP="00B56537">
      <w:r w:rsidRPr="00E34E46">
        <w:t xml:space="preserve">Étant donné que l’approvisionnement est un domaine en constante évolution, il est important de comprendre les grandes tendances et les conceptualisations qui influencent comment les organisations ou les entités concevront ou mettront en œuvre l’approvisionnement accessible. Ces antécédents sont apparus au cours de l’analyse environnementale (chapitre 3) et il existe des parallèles évidents entre chacun d’entre eux, illustrés par un exemple clé tiré de la littérature universitaire. Le chapitre 2 suit le cheminement des différentes tendances ou différents courants en matière de marchés publics et propose une définition claire de l’approvisionnement. Il existe des incohérences terminologiques dont il faut tenir compte dans la littérature universitaire. Nous explorons l’approvisionnement écologique ou durable, l’approvisionnement en tant qu’instrument de changement et d’innovation, l’approvisionnement social et </w:t>
      </w:r>
      <w:r w:rsidRPr="00E34E46">
        <w:lastRenderedPageBreak/>
        <w:t>responsable et l’approvisionnement auprès d’entreprises autochtones, pour conclure par l’approvisionnement accessible.</w:t>
      </w:r>
    </w:p>
    <w:p w14:paraId="38F6DDEB" w14:textId="5A24F3A5" w:rsidR="00D40444" w:rsidRPr="00E34E46" w:rsidRDefault="003348F5" w:rsidP="00D40444">
      <w:r w:rsidRPr="00E34E46">
        <w:t>Souvent, les professionnels travaillent ou intègrent des connaissances dans plusieurs domaines en approvisionnement en fonction de leur situation professionnelle et de l’organisation dans laquelle ils se trouvent. Le rapport est structuré pour les parties prenantes : professionnels de l’approvisionnement, dirigeants d’organisations, employés du secteur public, personnes ayant une expérience vécue et différents niveaux d’expertise. Ainsi, le chapitre 4 est consacré à des recommandations et peut être utilisé et adapté à des contextes organisationnels particuliers. Dans le chapitre 5, les résultats de recherche tiennent compte des professionnels et des personnes ayant une expérience vécue. Enfin, un modèle de chaîne d’approvisionnement accessible et résilient est proposé pour combler les lacunes en matière d’approvisionnement inclusif.</w:t>
      </w:r>
      <w:bookmarkStart w:id="49" w:name="_Toc168722511"/>
      <w:r w:rsidRPr="00E34E46">
        <w:t xml:space="preserve"> Les professionnels n’ont cessé de souligner le manque d’outils et de ressources en matière de législation sur l’accessibilité, et sans ceux-ci, leur mise en œuvre posera intrinsèquement un défi pour l’accessibilité en général, pas seulement pour l’approvisionnement accessible.</w:t>
      </w:r>
    </w:p>
    <w:p w14:paraId="3FCA6AA1" w14:textId="56A3D59C" w:rsidR="00335DE7" w:rsidRPr="00E34E46" w:rsidRDefault="00643C40" w:rsidP="00B56537">
      <w:r w:rsidRPr="00E34E46">
        <w:lastRenderedPageBreak/>
        <w:t>Le rapport est suivi d’une série d’annexes, qui ont émergé de ce projet de recherche. Une représentation graphique permet de montrer le flux des actions liées à l’approvisionnement accessible. Compte tenu des préoccupations relatives à la responsabilisation et aux cadres d’approvisionnement qu’ont des personnes ayant une expérience vécue, nous avons créé deux instruments clés fondés sur la recherche et les données collectées. L’annexe D présente les mesures et les indicateurs clés pour l’approvisionnement accessible, alors que la dernière annexe, l’annexe E, présente un exemple de tableau de bord.</w:t>
      </w:r>
    </w:p>
    <w:p w14:paraId="01788D4F" w14:textId="77777777" w:rsidR="00AB0461" w:rsidRPr="00E34E46" w:rsidRDefault="00AB0461" w:rsidP="00B56537">
      <w:pPr>
        <w:rPr>
          <w:rFonts w:cstheme="majorBidi"/>
          <w:color w:val="0F4761" w:themeColor="accent1" w:themeShade="BF"/>
          <w:sz w:val="32"/>
          <w:szCs w:val="32"/>
        </w:rPr>
      </w:pPr>
      <w:r w:rsidRPr="00E34E46">
        <w:br w:type="page"/>
      </w:r>
    </w:p>
    <w:p w14:paraId="3C50779E" w14:textId="0F91075E" w:rsidR="002A5E76" w:rsidRPr="00E34E46" w:rsidRDefault="00071607" w:rsidP="00B56537">
      <w:pPr>
        <w:pStyle w:val="Heading2"/>
        <w:rPr>
          <w:rFonts w:eastAsia="Times New Roman"/>
        </w:rPr>
      </w:pPr>
      <w:bookmarkStart w:id="50" w:name="_Toc224836476"/>
      <w:bookmarkStart w:id="51" w:name="_Toc224836704"/>
      <w:r w:rsidRPr="00E34E46">
        <w:lastRenderedPageBreak/>
        <w:t>Chapitre 2 : Approvisionnement public – tendances et cadres</w:t>
      </w:r>
      <w:bookmarkEnd w:id="50"/>
      <w:bookmarkEnd w:id="51"/>
    </w:p>
    <w:p w14:paraId="00D184A2" w14:textId="7C57491C" w:rsidR="00070C57" w:rsidRPr="00E34E46" w:rsidRDefault="000F38F8" w:rsidP="00362A77">
      <w:r w:rsidRPr="00E34E46">
        <w:t>Souvent très techniques et enfouies dans les organisations et les divers services, les personnes responsables de l’approvisionnement et des achats (les autorités contractantes) permettent le bon déroulement des organisations et aident ces dernières à réagir aux changements sociaux rapides. Dans cette section, nous ne pouvons pas fournir un historique complet de l’approvisionnement public au Canada, mais nous nous efforçons de présenter un résumé d’importantes tendances liées à l’approvisionnement accessible. Lange et ses collaborateurs (2014) n’ont recensé que 20 articles de recherche canadiens sur l’approvisionnement public sur une période de 15 ans. Ces tendances et ces cadres façonnent le paysage réel des professionnels et des organisations de l’approvisionnement public, et ce, aux échelles mondiale et locale.</w:t>
      </w:r>
    </w:p>
    <w:p w14:paraId="40CDDD3B" w14:textId="25D53EA8" w:rsidR="0082519A" w:rsidRPr="00E34E46" w:rsidRDefault="0082519A" w:rsidP="00362A77">
      <w:r w:rsidRPr="00E34E46">
        <w:t>L’approvisionnement peut se définir ainsi :</w:t>
      </w:r>
    </w:p>
    <w:p w14:paraId="34ACF10F" w14:textId="1894FBEC" w:rsidR="0082519A" w:rsidRPr="00E34E46" w:rsidRDefault="0082519A" w:rsidP="00EB5BEF">
      <w:pPr>
        <w:ind w:left="720" w:firstLine="0"/>
      </w:pPr>
      <w:r w:rsidRPr="00E34E46">
        <w:lastRenderedPageBreak/>
        <w:t>[</w:t>
      </w:r>
      <w:r w:rsidRPr="00E34E46">
        <w:rPr>
          <w:smallCaps/>
        </w:rPr>
        <w:t>traduction</w:t>
      </w:r>
      <w:r w:rsidRPr="00E34E46">
        <w:t xml:space="preserve">] « Le processus systématique d’achat et de vente de biens et de services qui requiert des phases définies et des activités associées, dont la planification, la pré-attribution, l’attribution, la gestion et le suivi de contrats, l’évaluation </w:t>
      </w:r>
      <w:r w:rsidR="00C54587" w:rsidRPr="00E34E46">
        <w:t>post-contractuelle</w:t>
      </w:r>
      <w:r w:rsidRPr="00E34E46">
        <w:t xml:space="preserve"> et la gestion de relations avec des fournisseurs » (gouvernement de la Colombie-Britannique, 2018)</w:t>
      </w:r>
    </w:p>
    <w:p w14:paraId="435E0A28" w14:textId="3F3E7173" w:rsidR="00EF0398" w:rsidRPr="00E34E46" w:rsidRDefault="00544111" w:rsidP="00B56537">
      <w:r w:rsidRPr="00E34E46">
        <w:t>Ces phases font partie d’un cycle de vie d’approvisionnement général lié à une approche de gestion de projet. Une récente étude de pointe sur l’approvisionnement public montre l’hétérogénéité et la complexité de la recherche, qui couvre des disciplines telles que l’administration publique, l’économie, la gestion de projets et les sciences politiques (Hudon et coll., 2021). L’approvisionnement public peut être un outil de politique permettant de créer de la valeur dans la prestation de services publics et de stimuler l’innovation dans une panoplie d’industries (</w:t>
      </w:r>
      <w:proofErr w:type="spellStart"/>
      <w:r w:rsidRPr="00E34E46">
        <w:t>Obwegeser</w:t>
      </w:r>
      <w:proofErr w:type="spellEnd"/>
      <w:r w:rsidRPr="00E34E46">
        <w:t xml:space="preserve"> et Müller, 2018).</w:t>
      </w:r>
    </w:p>
    <w:p w14:paraId="3CBDBD7D" w14:textId="184A9584" w:rsidR="002C7525" w:rsidRPr="00E34E46" w:rsidRDefault="00D32A05" w:rsidP="00EF0398">
      <w:r w:rsidRPr="00E34E46">
        <w:t xml:space="preserve">Intrinsèquement, dans les marchés publics, il existe une collaboration intersectorielle dans les organisations et entre elles, causée par la conformité réglementaire, les échéanciers politiques ainsi que les attentes et les valeurs de la société (Brunet et </w:t>
      </w:r>
      <w:proofErr w:type="spellStart"/>
      <w:r w:rsidRPr="00E34E46">
        <w:t>Jobidon</w:t>
      </w:r>
      <w:proofErr w:type="spellEnd"/>
      <w:r w:rsidRPr="00E34E46">
        <w:t xml:space="preserve">, 2024; </w:t>
      </w:r>
      <w:proofErr w:type="spellStart"/>
      <w:r w:rsidRPr="00E34E46">
        <w:t>Migone</w:t>
      </w:r>
      <w:proofErr w:type="spellEnd"/>
      <w:r w:rsidRPr="00E34E46">
        <w:t xml:space="preserve"> et coll., 2022; </w:t>
      </w:r>
      <w:r w:rsidRPr="00E34E46">
        <w:lastRenderedPageBreak/>
        <w:t>Sienkiewicz-</w:t>
      </w:r>
      <w:proofErr w:type="spellStart"/>
      <w:r w:rsidRPr="00E34E46">
        <w:t>Małyjurek</w:t>
      </w:r>
      <w:proofErr w:type="spellEnd"/>
      <w:r w:rsidRPr="00E34E46">
        <w:t xml:space="preserve"> et Szymczak, 2024). Les tendances suivantes en matière d’approvisionnement public et de cadres incluent la croissance de l’approvisionnement écologique et la normalisation de l’approvisionnement durable par l’Organisation internationale de normalisation (ISO) ainsi que l’importance de l’approvisionnement responsable pour garantir la conformité réglementaire, offrir le meilleur rapport qualité-prix et atténuer la corruption. La croissance de l’approvisionnement inclusif et social vise à remédier à des inégalités historiques. Plus récemment, l’approvisionnement auprès d’entreprises autochtone peut, espérons-le, créer de nouvelles possibilités de réconciliation et de sensibilité culturelle dans les pratiques et les politiques d’approvisionnement public.</w:t>
      </w:r>
    </w:p>
    <w:p w14:paraId="0753151D" w14:textId="065B5C40" w:rsidR="002426CE" w:rsidRPr="00E34E46" w:rsidRDefault="008A115C" w:rsidP="00575C54">
      <w:r w:rsidRPr="00E34E46">
        <w:t xml:space="preserve">Toutes ces tendances sont liées à l’approvisionnement accessible. Néanmoins, la littérature universitaire sur l’approvisionnement accessible au Canada présente d’importantes lacunes à ce jour. La prochaine section fournira un aperçu des cadres dominants qui influencent les pratiques d’approvisionnement au Canada et ailleurs, tout en passant en revue des exemples précis et en examinant la recherche canadienne, si elle est disponible. La recherche menée sur l’approvisionnement durable et </w:t>
      </w:r>
      <w:r w:rsidRPr="00E34E46">
        <w:lastRenderedPageBreak/>
        <w:t>écologique est publiée en dehors de revues traditionnelles d’administration publique (Hudon et coll., 2021) et elle est liée aux stratégies nationales relatives aux Objectifs de développement durable (ODD) des Nations Unies. Dans le cadre des Objectifs de développement durable, les pays rapportent également leur degré de mise en œuvre en ce qui concerne l’approvisionnement durable dans le cadre de l’ODD 12 sur la consommation et la production durables. Il en est particulièrement question dans les ODD 12.7.1 et 12.7.2. Ceux-ci s’appliquent aux rapports nationaux, mais examinent également le nombre d’entreprises rapportant des pratiques d’approvisionnement durable et des plans d’action à l’échelle infranationale (DAESNU, 2024).</w:t>
      </w:r>
    </w:p>
    <w:p w14:paraId="7BFBFDB2" w14:textId="3C315611" w:rsidR="00201E8A" w:rsidRPr="00E34E46" w:rsidRDefault="00201E8A" w:rsidP="00B56537">
      <w:pPr>
        <w:pStyle w:val="Heading3"/>
        <w:rPr>
          <w:rFonts w:eastAsia="Times New Roman"/>
        </w:rPr>
      </w:pPr>
      <w:bookmarkStart w:id="52" w:name="_Toc210828497"/>
      <w:r w:rsidRPr="00E34E46">
        <w:t>Approvisionnement écologique, durable et circulaire</w:t>
      </w:r>
      <w:bookmarkEnd w:id="52"/>
    </w:p>
    <w:p w14:paraId="24F9D8F7" w14:textId="2D9348C4" w:rsidR="00F074E9" w:rsidRPr="00E34E46" w:rsidRDefault="00964035" w:rsidP="000343AB">
      <w:r w:rsidRPr="00E34E46">
        <w:t xml:space="preserve">Les achats écologiques ou les achats à privilégier du point de vue environnemental visent à réduire les émissions de gaz à effet de serre (GES) ainsi que la consommation d’énergie et d’eau, ce qui est souvent lié à des traités internationaux, à des engagements en matière de durabilité et à des </w:t>
      </w:r>
      <w:r w:rsidRPr="00E34E46">
        <w:lastRenderedPageBreak/>
        <w:t>préoccupations relatives à la chaîne d’approvisionnement de secteurs et d’organismes publics (</w:t>
      </w:r>
      <w:proofErr w:type="spellStart"/>
      <w:r w:rsidRPr="00E34E46">
        <w:t>Rejeb</w:t>
      </w:r>
      <w:proofErr w:type="spellEnd"/>
      <w:r w:rsidRPr="00E34E46">
        <w:t xml:space="preserve"> et coll., 2024). Ces achats favorisent également la gestion des déchets et de la toxicité, en plus de soutenir les industries propres et renouvelables et de contribuer à l’économie circulaire. Dans la littérature universitaire, les approches en matière d’achats écologiques sont diverses et varient en fonction de la taille de l’administration, des rôles et responsabilités des professionnels ainsi que des engagements de la direction de l’organisation (Prier et coll., 2016; </w:t>
      </w:r>
      <w:proofErr w:type="spellStart"/>
      <w:r w:rsidRPr="00E34E46">
        <w:t>Revez</w:t>
      </w:r>
      <w:proofErr w:type="spellEnd"/>
      <w:r w:rsidRPr="00E34E46">
        <w:t xml:space="preserve"> et coll., 2023).</w:t>
      </w:r>
    </w:p>
    <w:p w14:paraId="5EA7BD2E" w14:textId="6CA26897" w:rsidR="00D84A7D" w:rsidRPr="00E34E46" w:rsidRDefault="00F074E9" w:rsidP="00B14C0F">
      <w:r w:rsidRPr="00E34E46">
        <w:t>Au sein de l’Union européenne, un cadre se développe à travers les directives européennes sur l’économie circulaire ou les marchés publics circulaires (</w:t>
      </w:r>
      <w:proofErr w:type="spellStart"/>
      <w:r w:rsidRPr="00E34E46">
        <w:t>Revez</w:t>
      </w:r>
      <w:proofErr w:type="spellEnd"/>
      <w:r w:rsidRPr="00E34E46">
        <w:t xml:space="preserve"> et coll., 2023). </w:t>
      </w:r>
      <w:proofErr w:type="spellStart"/>
      <w:r w:rsidRPr="00E34E46">
        <w:t>Sönnichsen</w:t>
      </w:r>
      <w:proofErr w:type="spellEnd"/>
      <w:r w:rsidRPr="00E34E46">
        <w:t xml:space="preserve"> et Clement (2020) soulignent que les marchés publics circulaires en sont encore à leurs débuts, mais qu’ils doivent être axés davantage sur des outils opérationnels, comme les éco-étiquettes, les normes, ainsi que les évaluations et les coûts du cycle de vie. Ils précisent également que les valeurs et les croyances des professionnels de l’approvisionnement jouent un rôle primordial dans l’adoption de marchés publics circulaires (</w:t>
      </w:r>
      <w:proofErr w:type="spellStart"/>
      <w:r w:rsidRPr="00E34E46">
        <w:t>Sönnichsen</w:t>
      </w:r>
      <w:proofErr w:type="spellEnd"/>
      <w:r w:rsidRPr="00E34E46">
        <w:t xml:space="preserve"> et Clement, 2020) et la durabilité. Un « triple résultat » met l’accent sur les résultats économiques, environnementaux et </w:t>
      </w:r>
      <w:r w:rsidRPr="00E34E46">
        <w:lastRenderedPageBreak/>
        <w:t>sociaux de l’approvisionnement public (</w:t>
      </w:r>
      <w:proofErr w:type="spellStart"/>
      <w:r w:rsidRPr="00E34E46">
        <w:t>Revez</w:t>
      </w:r>
      <w:proofErr w:type="spellEnd"/>
      <w:r w:rsidRPr="00E34E46">
        <w:t xml:space="preserve"> et coll., 2023). Toutefois, une économie circulaire et la chaîne d’approvisionnement sont axées tout au long du cycle sur la création de valeur, qu’elle soit économique ou environnementale, et les avantages vont au-delà d’un flux linéaire de biens et de services (Montag, 2023). Tous ces éléments de l’approvisionnement circulaire sont fondamentaux pour comprendre l’approvisionnement accessible d’une perspective de conception universelle, et pas seulement pour l’approvisionnement durable.</w:t>
      </w:r>
    </w:p>
    <w:p w14:paraId="3F0A960B" w14:textId="7CC65784" w:rsidR="00FC0D30" w:rsidRPr="00E34E46" w:rsidRDefault="003D1201" w:rsidP="00B56537">
      <w:r w:rsidRPr="00E34E46">
        <w:t xml:space="preserve">Dans une étude de cas, </w:t>
      </w:r>
      <w:proofErr w:type="spellStart"/>
      <w:r w:rsidRPr="00E34E46">
        <w:t>Revez</w:t>
      </w:r>
      <w:proofErr w:type="spellEnd"/>
      <w:r w:rsidRPr="00E34E46">
        <w:t xml:space="preserve"> et coll. (2020) se penchent sur le développement d’initiatives d’achats écologiques par l’</w:t>
      </w:r>
      <w:proofErr w:type="spellStart"/>
      <w:r w:rsidRPr="00E34E46">
        <w:t>University</w:t>
      </w:r>
      <w:proofErr w:type="spellEnd"/>
      <w:r w:rsidRPr="00E34E46">
        <w:t xml:space="preserve"> College of Cork, en Irlande, et les perspectives des professionnels de l’approvisionnement. Ils créent une structure temporelle des achats écologiques à leur établissement, qui commence par une politique ad hoc et des initiatives. Cette approche crée une ouverture pour les personnes qui souhaitent développer et renforcer leurs compétences, leurs aptitudes et leurs connaissances dans ce domaine en particulier, ce qui permet une intégration dans les processus de gestion (</w:t>
      </w:r>
      <w:proofErr w:type="spellStart"/>
      <w:r w:rsidRPr="00E34E46">
        <w:t>Revez</w:t>
      </w:r>
      <w:proofErr w:type="spellEnd"/>
      <w:r w:rsidRPr="00E34E46">
        <w:t xml:space="preserve"> et coll., 2023). Les déclencheurs servant à soutenir la mise en œuvre et le changement </w:t>
      </w:r>
      <w:r w:rsidRPr="00E34E46">
        <w:lastRenderedPageBreak/>
        <w:t>organisationnel comprennent, entre autres, le soutien de la part des décisionnaires et des professionnels de l’approvisionnement, les initiatives et les défis à l’échelle de l’établissement, les politiques fondamentales, l’intérêt individuel, ainsi que l’allocation de ressources afin de créer le plus vaste effet à l’échelle de l’établissement (</w:t>
      </w:r>
      <w:proofErr w:type="spellStart"/>
      <w:r w:rsidRPr="00E34E46">
        <w:t>Revez</w:t>
      </w:r>
      <w:proofErr w:type="spellEnd"/>
      <w:r w:rsidRPr="00E34E46">
        <w:t xml:space="preserve"> et coll., 2023).</w:t>
      </w:r>
    </w:p>
    <w:p w14:paraId="235A2D5C" w14:textId="1B35F67F" w:rsidR="00151102" w:rsidRPr="00E34E46" w:rsidRDefault="00544111" w:rsidP="005977B3">
      <w:r w:rsidRPr="00E34E46">
        <w:t>Toutefois, dans leur étude de cas, ils soulignent que la décentralisation des responsabilités d’approvisionnement, basée sur des seuils d’achat, puisse offrir davantage de souplesse aux services institutionnels et à la prise de décisions (ibidem). Des préoccupations ont également été soulevées concernant la réglementation obligatoire pour les fournisseurs. En effet, ce pourrait être perçu comme une façon d’augmenter les coûts liés au contrôle de la conformité des fournisseurs pour le secteur public, et donc pour les contribuables. Faisant référence à une étude allemande sur l’innovation verte, les auteurs (</w:t>
      </w:r>
      <w:proofErr w:type="spellStart"/>
      <w:r w:rsidRPr="00E34E46">
        <w:t>Revez</w:t>
      </w:r>
      <w:proofErr w:type="spellEnd"/>
      <w:r w:rsidRPr="00E34E46">
        <w:t xml:space="preserve"> et coll., 2023) indiquent que des subventions gouvernementales clés peuvent être efficaces pour promouvoir l’adoption de l’innovation verte. Dans un autre exemple, la capacité à atténuer les préoccupations liées aux risques énergétiques a constitué, selon une étude américaine citée dans leur article, une mesure utile lors de l’adoption de </w:t>
      </w:r>
      <w:r w:rsidRPr="00E34E46">
        <w:lastRenderedPageBreak/>
        <w:t>l’approvisionnement public écologique dans le cadre des marchés de services écoénergétiques. En outre, des indicateurs mondiaux, comme les mesures de l’empreinte carbone, contribuent à la conformité et à la visibilité de l’incidence, malgré l’incohérence de certaines définitions et mesures (</w:t>
      </w:r>
      <w:proofErr w:type="spellStart"/>
      <w:r w:rsidRPr="00E34E46">
        <w:t>Revez</w:t>
      </w:r>
      <w:proofErr w:type="spellEnd"/>
      <w:r w:rsidRPr="00E34E46">
        <w:t xml:space="preserve"> et coll., 2023).</w:t>
      </w:r>
    </w:p>
    <w:p w14:paraId="44BE5178" w14:textId="5DBC487E" w:rsidR="00964035" w:rsidRPr="00E34E46" w:rsidRDefault="00151102" w:rsidP="00151102">
      <w:r w:rsidRPr="00E34E46">
        <w:t>Sans formation des professionnels de l’approvisionnement, il est difficile de mettre en œuvre des changements en matière d’approvisionnement. Les auteurs soulignent l’importance d’intégrer les professionnels de l’approvisionnement, car ceux-ci peuvent comprendre la nature changeante des rôles et responsabilités en matière d’achats, définir et articuler les changements dans les politiques d’approvisionnement et introduire l’apprentissage grâce à une approche de réflexion (</w:t>
      </w:r>
      <w:proofErr w:type="spellStart"/>
      <w:r w:rsidRPr="00E34E46">
        <w:t>Revez</w:t>
      </w:r>
      <w:proofErr w:type="spellEnd"/>
      <w:r w:rsidRPr="00E34E46">
        <w:t xml:space="preserve"> et coll., 2023). Sur la base du modèle de la pratique réflexive de Broyon, les praticiens se posent trois questions dans le cadre de leur apprentissage : « quoi? » (</w:t>
      </w:r>
      <w:proofErr w:type="gramStart"/>
      <w:r w:rsidRPr="00E34E46">
        <w:t>la</w:t>
      </w:r>
      <w:proofErr w:type="gramEnd"/>
      <w:r w:rsidRPr="00E34E46">
        <w:t xml:space="preserve"> description de la pratique réflexive), « pourquoi? » (</w:t>
      </w:r>
      <w:proofErr w:type="gramStart"/>
      <w:r w:rsidRPr="00E34E46">
        <w:t>pour</w:t>
      </w:r>
      <w:proofErr w:type="gramEnd"/>
      <w:r w:rsidRPr="00E34E46">
        <w:t xml:space="preserve"> construire des connaissances), puis « et après? » (</w:t>
      </w:r>
      <w:proofErr w:type="gramStart"/>
      <w:r w:rsidRPr="00E34E46">
        <w:t>pour</w:t>
      </w:r>
      <w:proofErr w:type="gramEnd"/>
      <w:r w:rsidRPr="00E34E46">
        <w:t xml:space="preserve"> favoriser une action ou un comportement), comme le mentionnent </w:t>
      </w:r>
      <w:proofErr w:type="spellStart"/>
      <w:r w:rsidRPr="00E34E46">
        <w:t>Revez</w:t>
      </w:r>
      <w:proofErr w:type="spellEnd"/>
      <w:r w:rsidRPr="00E34E46">
        <w:t xml:space="preserve"> et coll. (2023). Cette étude de cas démontre la complexité du paysage de l’approvisionnement </w:t>
      </w:r>
      <w:r w:rsidRPr="00E34E46">
        <w:lastRenderedPageBreak/>
        <w:t>durable, tout en précisant que l’évolution de la mise en œuvre de la durabilité au sein d’une seule organisation est idiosyncratique et tout aussi pertinente à l’approvisionnement accessible.</w:t>
      </w:r>
    </w:p>
    <w:p w14:paraId="4E7CBBB9" w14:textId="7A02EFF3" w:rsidR="00D0736C" w:rsidRPr="00E34E46" w:rsidRDefault="00434276" w:rsidP="00641423">
      <w:r w:rsidRPr="00E34E46">
        <w:t>Au Canada, l’approvisionnement durable demeure un terme générique sous lequel on peut regrouper de nombreux enjeux environnementaux. Parallèlement à d’autres priorités gouvernementales, le gouvernement fédéral (mise à jour de 2018) met l’accent sur les répercussions environnementales dans le processus d’approvisionnement. Les répercussions environnementales s’étendent sur l’ensemble du cycle de vie, dont la planification, l’achat, l’utilisation et l’élimination de biens, de services et d’installations. L’approvisionnement durable est défini comme [</w:t>
      </w:r>
      <w:r w:rsidRPr="00E34E46">
        <w:rPr>
          <w:smallCaps/>
        </w:rPr>
        <w:t>traduction</w:t>
      </w:r>
      <w:r w:rsidRPr="00E34E46">
        <w:t xml:space="preserve">] « l’intégration des facteurs de durabilité à prendre en compte dans les processus de sélection des biens et des services, en plus des critères traditionnels comme le prix, la qualité, le service et les caractéristiques techniques » (Reeve Consulting, 2020). Il encourage les membres à mettre l’accent sur les questions de durabilité intégrées dans leurs stratégies d’entreprise, tout en restant ouverts aux risques de la </w:t>
      </w:r>
      <w:r w:rsidRPr="00E34E46">
        <w:lastRenderedPageBreak/>
        <w:t>durabilité et aux possibilités uniques qui figurent dans chaque approvisionnement.</w:t>
      </w:r>
    </w:p>
    <w:p w14:paraId="20F0B502" w14:textId="6018579D" w:rsidR="00D0736C" w:rsidRPr="00E34E46" w:rsidRDefault="00964035" w:rsidP="00D62871">
      <w:r w:rsidRPr="00E34E46">
        <w:t xml:space="preserve">La Canadian Collaboration for </w:t>
      </w:r>
      <w:proofErr w:type="spellStart"/>
      <w:r w:rsidRPr="00E34E46">
        <w:t>Sustainable</w:t>
      </w:r>
      <w:proofErr w:type="spellEnd"/>
      <w:r w:rsidRPr="00E34E46">
        <w:t xml:space="preserve"> Procurement (CCSP) encourage l’utilisation d’un modèle d’approvisionnement durable intégré et holistique. Ce réseau canadien, fondé par Reeve Consulting, est formé d’organismes de la fonction publique, soit des institutions fédérales, provinciales, municipales et postsecondaires du Canada (Reeve Consulting, 2024). Il favorise l’échange de connaissances, l’établissement de points de références, et la collaboration afin de dégager les tendances actuelles et de planifier les mesures que peuvent prendre ses membres en ce qui concerne l’approvisionnement durable.</w:t>
      </w:r>
    </w:p>
    <w:p w14:paraId="013D7130" w14:textId="20E61B32" w:rsidR="00DA51E7" w:rsidRPr="00E34E46" w:rsidRDefault="00964035" w:rsidP="00B56537">
      <w:r w:rsidRPr="00E34E46">
        <w:t xml:space="preserve">L’intégration de la durabilité dans les achats publics demeure incohérente au Canada, ce qui suscite une inquiétude croissante (Da Ponte et coll., 2020). Da Ponte et ses collaborateurs notent également que l’approvisionnement public écologique n’a pas été entièrement intégré dans les pratiques d’achat du secteur public et que des obstacles entravent toujours la mise en œuvre (Da Ponte et coll., 2020). Les auteurs mentionnent d’ailleurs une proposition de mise en œuvre de plus de 25 ans </w:t>
      </w:r>
      <w:r w:rsidRPr="00E34E46">
        <w:lastRenderedPageBreak/>
        <w:t>derrière les initiatives d’achats écologiques au Canada (Da Ponte et coll., 2020). Par leur examen de 50 demandes de propositions, de 2016 à 2019, ils ont créé deux mécanismes pour mesurer comment la durabilité était intégrée dans les marchés publics (ibidem). Ils ont axé leurs travaux sur la demande de propositions, mettant ainsi en lumière comment les critères de durabilité sont intégrés dans l’évaluation des soumissions et comment les pondérations sont attribuées au mécanisme de notation. Leurs cadres établissent une structure pyramidale : la plupart des demandes de propositions à la base du cadre comportent des facteurs de durabilité à prendre en compte dans les documents. Par ailleurs, celles situées au sommet présentent également des mesures claires, en plus des critères d’évaluation et de suivi rattachés aux facteurs de durabilité (Da Ponte et coll., 2020). Au troisième niveau, des critères individuels sont définis, lesquels ont un poids explicite dans le mécanisme de notation des soumissions. Au quatrième niveau, toutefois, les demandes de propositions comportent une catégorie distincte pour la durabilité, ce qui représente, selon les auteurs, 10 % ou plus du mécanisme de notation total utilisé pour l’évaluation des soumissions (Da Ponte et coll., 2020).</w:t>
      </w:r>
    </w:p>
    <w:p w14:paraId="35D30CED" w14:textId="36AE1BFD" w:rsidR="00BE7C8D" w:rsidRPr="00E34E46" w:rsidRDefault="00DA51E7" w:rsidP="00B56537">
      <w:r w:rsidRPr="00E34E46">
        <w:lastRenderedPageBreak/>
        <w:t>Un deuxième élément de la mesure pour l’intégration de la durabilité dans les demandes de propositions examinait le nombre de points traitant précisément des principales répercussions environnementales et sociales de la durabilité. Plus le nombre de déclarations et d’indicateurs sur les répercussions est grand, plus le rang dans la structure pyramidale est élevé (Da Ponte et coll., 2020). Bien qu’ils examinent des demandes de propositions provenant de différents niveaux du secteur public et des secteurs ayant les plus grosses dépenses, les auteurs soulignent la présence d’une intégration superficielle de la durabilité dans les demandes de propositions du secteur public.</w:t>
      </w:r>
    </w:p>
    <w:p w14:paraId="7A4ABA88" w14:textId="5074960C" w:rsidR="00964035" w:rsidRPr="00E34E46" w:rsidRDefault="006D78EC" w:rsidP="00B56537">
      <w:r w:rsidRPr="00E34E46">
        <w:t>Da Ponte et ses collaborateurs (2020) ont présenté quatre recommandations clés pour améliorer l’intégration de la durabilité et favoriser la responsabilisation envers l’optimisation des ressources :</w:t>
      </w:r>
    </w:p>
    <w:p w14:paraId="2683D8CF" w14:textId="1D5466CF" w:rsidR="001F2A08" w:rsidRPr="00E34E46" w:rsidRDefault="001F2A08" w:rsidP="00332AC9">
      <w:pPr>
        <w:ind w:left="720" w:firstLine="0"/>
        <w:rPr>
          <w:rFonts w:eastAsia="Times New Roman"/>
        </w:rPr>
      </w:pPr>
      <w:r w:rsidRPr="00E34E46">
        <w:t>[</w:t>
      </w:r>
      <w:r w:rsidRPr="00E34E46">
        <w:rPr>
          <w:smallCaps/>
        </w:rPr>
        <w:t>traduction</w:t>
      </w:r>
      <w:r w:rsidRPr="00E34E46">
        <w:t>] « 5.1 Approfondir la compréhension de l’ampleur et de l’importance des répercussions environnementales et sociales associées aux décisions d’achat. [...]</w:t>
      </w:r>
    </w:p>
    <w:p w14:paraId="5E5E13CD" w14:textId="7C1239EF" w:rsidR="00964035" w:rsidRPr="00E34E46" w:rsidRDefault="00332AC9" w:rsidP="00332AC9">
      <w:pPr>
        <w:ind w:left="720" w:firstLine="0"/>
      </w:pPr>
      <w:r w:rsidRPr="00E34E46">
        <w:lastRenderedPageBreak/>
        <w:t>5.2 Établir des objectifs, des processus et des systèmes pour gérer et surveiller l’intégration de la durabilité dans le processus d’approvisionnement. [...]</w:t>
      </w:r>
    </w:p>
    <w:p w14:paraId="5A2A7C88" w14:textId="1A880001" w:rsidR="00964035" w:rsidRPr="00E34E46" w:rsidRDefault="00332AC9" w:rsidP="00332AC9">
      <w:pPr>
        <w:ind w:left="720" w:firstLine="0"/>
      </w:pPr>
      <w:r w:rsidRPr="00E34E46">
        <w:t>5.3 Restructurer les normes des demandes de propositions pour intégrer de manière significative la durabilité dans le processus d’évaluation et exiger des renseignements essentiels sur la durabilité. [...]</w:t>
      </w:r>
    </w:p>
    <w:p w14:paraId="2AF85E2D" w14:textId="6F2F8C3C" w:rsidR="00964035" w:rsidRPr="00E34E46" w:rsidRDefault="00332AC9" w:rsidP="00332AC9">
      <w:pPr>
        <w:ind w:left="720" w:firstLine="0"/>
      </w:pPr>
      <w:r w:rsidRPr="00E34E46">
        <w:t xml:space="preserve">5.4 Exiger l’intégration du coût total de propriété dans chaque demande de propositions » (Da Ponte et coll., 2020; titres des articles des pages 15 et 16). </w:t>
      </w:r>
    </w:p>
    <w:p w14:paraId="1541A5FD" w14:textId="7F697A9A" w:rsidR="00964035" w:rsidRPr="00E34E46" w:rsidRDefault="000F3C6A" w:rsidP="00B56537">
      <w:r w:rsidRPr="00E34E46">
        <w:t xml:space="preserve">Des cadres de mesure, des réseaux et des certifications offerts partout dans le monde et au pays soutiennent l’adoption et la mise en œuvre réelles de l’approvisionnement durable au Canada. Tous ces mécanismes augmentent la responsabilisation et l’assurance qualité, tant pour les matériaux de construction et leur conception, et protègent les droits de la personne contre des pratiques contraires à l’éthique dans les chaînes d’approvisionnement à l’échelle mondiale. Revenons à l’indicateur de </w:t>
      </w:r>
      <w:r w:rsidRPr="00E34E46">
        <w:lastRenderedPageBreak/>
        <w:t>l’ODD 12.7.1 qui offre un mécanisme pour mesurer le degré de mise en œuvre. En 2020, on considérait que la politique et les actions du Canada en matière d’approvisionnement durable avaient un faible niveau de mise en œuvre. Elles ont tout de même progressé, atteignant un niveau de moyen-faible en 2022, selon la base de données des indicateurs des ODD (DAESNU, 2024). Nous nous tournons vers ces formes de marchés publics, car elles introduisent des calendriers de mise en œuvre, en plus de tenir compte de la diversité des pratiques et des approches de cycle de vie (que ce soit concernant l’utilisation de matériaux biodégradables dans la gestion des déchets ou le coût d’entretien d’un produit tout au long de son cycle de vie dans le cadre de son évaluation). Ces éléments et ces caractéristiques sont associés à l’approche nécessaire pour l’approvisionnement accessible, qui se trouve à un stade de développement plus précoce que l’approvisionnement écologique, durable ou circulaire.</w:t>
      </w:r>
    </w:p>
    <w:p w14:paraId="09BFB906" w14:textId="249B07D1" w:rsidR="00C84328" w:rsidRPr="00E34E46" w:rsidRDefault="00FD2ADA" w:rsidP="00B56537">
      <w:pPr>
        <w:pStyle w:val="Heading3"/>
        <w:rPr>
          <w:rFonts w:eastAsia="Times New Roman"/>
        </w:rPr>
      </w:pPr>
      <w:bookmarkStart w:id="53" w:name="_Toc210828498"/>
      <w:r w:rsidRPr="00E34E46">
        <w:t>Approvisionnement en innovation</w:t>
      </w:r>
      <w:bookmarkEnd w:id="53"/>
    </w:p>
    <w:p w14:paraId="4F6090BE" w14:textId="0642F675" w:rsidR="00A32744" w:rsidRPr="00E34E46" w:rsidRDefault="0034601C" w:rsidP="00B56537">
      <w:r w:rsidRPr="00E34E46">
        <w:t xml:space="preserve">L’incidence de l’approvisionnement public sur l’innovation suscite un intérêt croissant, avec l’émergence de nouvelles études empiriques, bien que </w:t>
      </w:r>
      <w:r w:rsidRPr="00E34E46">
        <w:lastRenderedPageBreak/>
        <w:t>la relation entre la concurrence du marché et l’innovation ne soit pas encore entièrement comprise (</w:t>
      </w:r>
      <w:proofErr w:type="spellStart"/>
      <w:r w:rsidRPr="00E34E46">
        <w:t>Malacina</w:t>
      </w:r>
      <w:proofErr w:type="spellEnd"/>
      <w:r w:rsidRPr="00E34E46">
        <w:t xml:space="preserve"> et coll., 2022). Contrairement au secteur privé où l’innovation peut se développer par une approche d’essais et erreurs, l’approvisionnement dans le secteur public doit être assujetti à des règlements et à des contrôles qui assurent la responsabilisation et l’utilisation efficace des fonds publics (</w:t>
      </w:r>
      <w:proofErr w:type="spellStart"/>
      <w:r w:rsidRPr="00E34E46">
        <w:t>Obwegeser</w:t>
      </w:r>
      <w:proofErr w:type="spellEnd"/>
      <w:r w:rsidRPr="00E34E46">
        <w:t xml:space="preserve"> et Müller, 2018). L’innovation dans l’approvisionnement public vise principalement la chaîne d’approvisionnement, le financement de la recherche, et le transfert des technologies (</w:t>
      </w:r>
      <w:proofErr w:type="spellStart"/>
      <w:r w:rsidRPr="00E34E46">
        <w:t>Obwegeser</w:t>
      </w:r>
      <w:proofErr w:type="spellEnd"/>
      <w:r w:rsidRPr="00E34E46">
        <w:t xml:space="preserve"> et Müller, 2018).</w:t>
      </w:r>
    </w:p>
    <w:p w14:paraId="23EC2FFB" w14:textId="23AD1BBC" w:rsidR="008659F1" w:rsidRPr="00E34E46" w:rsidRDefault="005E53E0" w:rsidP="00B56537">
      <w:r w:rsidRPr="00E34E46">
        <w:t>L’approvisionnement en innovation est axé sur l’encouragement à favoriser l’innovation (Allen et coll., 2021; Crisan, 2020).</w:t>
      </w:r>
      <w:r w:rsidRPr="00E34E46">
        <w:rPr>
          <w:b/>
        </w:rPr>
        <w:t xml:space="preserve"> </w:t>
      </w:r>
      <w:r w:rsidRPr="00E34E46">
        <w:t xml:space="preserve">Il s’agit en fait de l’achat de nouvelles solutions ou encore de l’utilisation différente de solutions existantes (Crisan, 2020). </w:t>
      </w:r>
      <w:proofErr w:type="spellStart"/>
      <w:r w:rsidRPr="00E34E46">
        <w:t>Obwegeser</w:t>
      </w:r>
      <w:proofErr w:type="spellEnd"/>
      <w:r w:rsidRPr="00E34E46">
        <w:t xml:space="preserve"> et Müller (2018) soulignent également que les marchés publics et l’innovation peuvent fonctionner comme une combinaison de politiques, qu’il s’agisse de lois, de règlements, de normes ou de politiques, pour soutenir l’innovation du côté de la demande.</w:t>
      </w:r>
    </w:p>
    <w:p w14:paraId="3A022BA2" w14:textId="430DB8D0" w:rsidR="00F82ABB" w:rsidRPr="00E34E46" w:rsidRDefault="009B3352" w:rsidP="00B56537">
      <w:r w:rsidRPr="00E34E46">
        <w:t xml:space="preserve">L’expression « approvisionnement technologique public » est introduite dans la recherche universitaire, utilisant des exemples d’innovation, tels </w:t>
      </w:r>
      <w:r w:rsidRPr="00E34E46">
        <w:lastRenderedPageBreak/>
        <w:t>qu’Internet ou les semi-conducteurs en référence, mais ces exemples ne sont pas liés à l’approvisionnement dans le secteur public (</w:t>
      </w:r>
      <w:proofErr w:type="spellStart"/>
      <w:r w:rsidRPr="00E34E46">
        <w:t>Obwegeser</w:t>
      </w:r>
      <w:proofErr w:type="spellEnd"/>
      <w:r w:rsidRPr="00E34E46">
        <w:t xml:space="preserve"> et Müller, 2018). Selon leur synthèse de la recherche universitaire, l’innovation est utilisée pour stimuler l’innovation, mais aussi pour l’introduire dans les pratiques d’achat du secteur public et dans les politiques de services, comme une intervention du côté de la demande, sans parler du manque de cohérence dans la terminologie.</w:t>
      </w:r>
    </w:p>
    <w:p w14:paraId="1A70C50D" w14:textId="760D3E58" w:rsidR="008659F1" w:rsidRPr="00E34E46" w:rsidRDefault="009B3352" w:rsidP="00B56537">
      <w:r w:rsidRPr="00E34E46">
        <w:t>Trois approches liées à l’innovation sont répertoriées : les achats avant la commercialisation, les partenariats public-privé (</w:t>
      </w:r>
      <w:proofErr w:type="spellStart"/>
      <w:r w:rsidRPr="00E34E46">
        <w:t>Obwegeser</w:t>
      </w:r>
      <w:proofErr w:type="spellEnd"/>
      <w:r w:rsidRPr="00E34E46">
        <w:t xml:space="preserve"> et Müller, 2018) et l’évolution vers des modèles de réalisation de projets intégrée (Brunet et </w:t>
      </w:r>
      <w:proofErr w:type="spellStart"/>
      <w:r w:rsidRPr="00E34E46">
        <w:t>Jobidon</w:t>
      </w:r>
      <w:proofErr w:type="spellEnd"/>
      <w:r w:rsidRPr="00E34E46">
        <w:t xml:space="preserve">, 2024). Dans l’exemple de l’application de la politique de l’innovation dans le secteur de la santé en Espagne, </w:t>
      </w:r>
      <w:proofErr w:type="spellStart"/>
      <w:r w:rsidRPr="00E34E46">
        <w:t>Uyarra</w:t>
      </w:r>
      <w:proofErr w:type="spellEnd"/>
      <w:r w:rsidRPr="00E34E46">
        <w:t xml:space="preserve"> et ses collaborateurs (2020) soulignent que l’innovation dans l’approvisionnement public peut venir combler les besoins mondiaux et locaux, tout en innovant dans la prestation de services. Les auteurs ajoutent que l’innovation peut guider la transformation économique et le changement social (valeur sociale) mais devrait permettre de soutenir la transformation de l’économie même (</w:t>
      </w:r>
      <w:proofErr w:type="spellStart"/>
      <w:r w:rsidRPr="00E34E46">
        <w:t>Uyarra</w:t>
      </w:r>
      <w:proofErr w:type="spellEnd"/>
      <w:r w:rsidRPr="00E34E46">
        <w:t xml:space="preserve"> et coll., 2020). Pour atteindre ces stratégies innovantes, il faut </w:t>
      </w:r>
      <w:r w:rsidRPr="00E34E46">
        <w:lastRenderedPageBreak/>
        <w:t xml:space="preserve">communiquer aussitôt que possible les résultats élargis souhaités, de manière suffisamment stimulante pour promouvoir l’innovation (ibidem) et répondre aux besoins de la société (Crisan, 2020; </w:t>
      </w:r>
      <w:proofErr w:type="spellStart"/>
      <w:r w:rsidRPr="00E34E46">
        <w:t>Uyarra</w:t>
      </w:r>
      <w:proofErr w:type="spellEnd"/>
      <w:r w:rsidRPr="00E34E46">
        <w:t xml:space="preserve"> et coll., 2020). </w:t>
      </w:r>
    </w:p>
    <w:p w14:paraId="494523A9" w14:textId="0077E247" w:rsidR="009B3352" w:rsidRPr="00E34E46" w:rsidRDefault="009B3352" w:rsidP="00B56537">
      <w:r w:rsidRPr="00E34E46">
        <w:t>Crisan (2020) précise que l’approche du Canada en matière d’innovation est principalement axée sur l’innovation du côté de l’offre, et non de la demande. Crisan précise également que l’aversion au risque et la minimisation des coûts sont deux obstacles majeurs au Canada. En outre, il existe des points de départ plus faciles grâce aux petites et moyennes entreprises, qui peuvent atténuer l’échelle de risques, comme c’est le cas pour les municipalités. Le document politique indique en outre que l’innovation peut faire partie des critères d’approvisionnement, et que les besoins et les défis des organismes publics devraient être communiqués. Il est préconisé de diviser des contrats d’envergure afin de mieux répondre aux besoins et d’adapter le processus d’approvisionnement au résultat escompté (Crisan, 2020).</w:t>
      </w:r>
    </w:p>
    <w:p w14:paraId="7C75F34A" w14:textId="123061B0" w:rsidR="009B3352" w:rsidRPr="00E34E46" w:rsidRDefault="009B3352" w:rsidP="00EB5BEF">
      <w:pPr>
        <w:ind w:left="720" w:firstLine="0"/>
      </w:pPr>
      <w:r w:rsidRPr="00E34E46">
        <w:t xml:space="preserve">« Voici des facteurs de succès [...] (ou certaines conditions nécessaires à l’approvisionnement de produits innovants) : l’expertise des procédures relatives à l’approvisionnement public et des lois </w:t>
      </w:r>
      <w:r w:rsidRPr="00E34E46">
        <w:lastRenderedPageBreak/>
        <w:t>pertinentes; la compétence technique pour la spécification fonctionnelle; la coordination et la coopération entre les acheteurs et les autres intervenants (comme les futurs opérateurs); le contrôle de gestion; la gestion des risques; les ressources appropriées; et le soutien politique (Crisan, 2020; voir p. 7).</w:t>
      </w:r>
    </w:p>
    <w:p w14:paraId="2AEDE2A1" w14:textId="53B545C4" w:rsidR="00D47820" w:rsidRPr="00E34E46" w:rsidRDefault="009B3352" w:rsidP="00B56537">
      <w:r w:rsidRPr="00E34E46">
        <w:t>Crisan aborde explicitement le risque du côté du fournisseur (le risque qu’une soumission soit refusée) et du côté de l’acheteur, où des exigences précises sont formulées dans les documents des appels d’offres et les mécanismes d’évaluation. Il propose des bonifications pour soutenir les PME, ainsi que le recours à des certifications de tiers ou volontaires, et des clauses d’immunité à l’acheteur afin de réduire les risques réels et perçus (Crisan, 2020). Parmi les autres considérations importantes liées au risque, mentionnons l’interprétation conservatrice des règlements et du contrôle de la conformité, la hausse des coûts associés à l’acquisition de nouvelles solutions, les mesures à prendre, la définition de l’innovation et la complexité générale des achats publics (Crisan, 2020). Une solution intéressante est présentée, où un tiers agit comme médiateur entre l’acheteur et le vendeur (par exemple, Innovation Canada et d’autres).</w:t>
      </w:r>
    </w:p>
    <w:p w14:paraId="090DDA85" w14:textId="1F06674A" w:rsidR="00163864" w:rsidRPr="00E34E46" w:rsidRDefault="00487F9E" w:rsidP="009E393A">
      <w:r w:rsidRPr="00E34E46">
        <w:lastRenderedPageBreak/>
        <w:t>Des directives et des recommandations claires sont rédigées pour soutenir une innovation accrue au Canada par l’approvisionnement, en particulier à l’échelle municipale et provinciale. (Crisan, 2020). Néanmoins, l’objectif (</w:t>
      </w:r>
      <w:proofErr w:type="spellStart"/>
      <w:r w:rsidRPr="00E34E46">
        <w:t>Malacina</w:t>
      </w:r>
      <w:proofErr w:type="spellEnd"/>
      <w:r w:rsidRPr="00E34E46">
        <w:t xml:space="preserve"> et coll., 2022) selon les arguments avancés est que la création de valeur dans l’approvisionnement public devrait contribuer à la création de valeur dans la société et améliorer ainsi le fonctionnement du secteur public. Sous cet angle, l’approvisionnement accessible et l’approvisionnement en innovation sont intrinsèquement liés pour soutenir l’accessibilité et l’inclusion des personnes en situation de handicap dans la société, notamment grâce aux innovations étroitement associées au développement des technologies d’assistance pour ces personnes. Il faut davantage d’études empiriques pour mieux comprendre comment les politiques institutionnelles et l’approvisionnement public influenceront l’innovation et l’accessibilité dans le futur.</w:t>
      </w:r>
    </w:p>
    <w:p w14:paraId="724895FB" w14:textId="63C7D5E0" w:rsidR="00201E8A" w:rsidRPr="00E34E46" w:rsidRDefault="00201E8A" w:rsidP="00B56537">
      <w:pPr>
        <w:pStyle w:val="Heading3"/>
        <w:rPr>
          <w:rFonts w:eastAsia="Times New Roman" w:cs="Arial"/>
          <w:bCs/>
        </w:rPr>
      </w:pPr>
      <w:bookmarkStart w:id="54" w:name="_Toc210828499"/>
      <w:r w:rsidRPr="00E34E46">
        <w:t>Approvisionnement responsable et social</w:t>
      </w:r>
      <w:bookmarkEnd w:id="54"/>
    </w:p>
    <w:p w14:paraId="4FAFE54A" w14:textId="11DE7A4C" w:rsidR="00683707" w:rsidRPr="00E34E46" w:rsidRDefault="009C09FF" w:rsidP="00B56537">
      <w:r w:rsidRPr="00E34E46">
        <w:t xml:space="preserve">Bien qu’il fasse partie du cadre de l’approvisionnement durable selon la norme ISO 20400, l’approvisionnement éthique et responsable peut soutenir </w:t>
      </w:r>
      <w:r w:rsidRPr="00E34E46">
        <w:lastRenderedPageBreak/>
        <w:t>le développement économique ou communautaire des populations défavorisées aux échelles mondiale et nationale. L’approvisionnement éthique consiste à réduire le travail en « atelier de misère » en établissant des normes minimales reconnues pour les conditions de travail des fournisseurs et des sous-traitants. Pour ce faire, il faut souvent évaluer la conformité avec les conventions de l’Organisation internationale du Travail contre le travail des enfants, le travail forcé et la discrimination dans l’emploi, et avec la Déclaration universelle des droits de l’homme des Nations Unies. Récemment, le gouvernement du Canada a adopté des directives claires concernant la protection des droits des enfants et du travail (Conseil national de recherches Canada, s. d.).</w:t>
      </w:r>
    </w:p>
    <w:p w14:paraId="79AB12B3" w14:textId="7D03B25C" w:rsidR="009C09FF" w:rsidRPr="00E34E46" w:rsidRDefault="009C09FF" w:rsidP="00B56537">
      <w:r w:rsidRPr="00E34E46">
        <w:t xml:space="preserve">L’approvisionnement éthique et responsable a également évolué pour contrer le détournement de fonds publics par la corruption, trouver le meilleur rapport qualité-prix et protéger l’intérêt public. Étroitement lié à l’approvisionnement éthique et responsable, l’approvisionnement social suscite un intérêt croissant, particulièrement dans les municipalités et les établissements d’enseignement postsecondaire du Canada. La Ville de </w:t>
      </w:r>
      <w:r w:rsidRPr="00E34E46">
        <w:lastRenderedPageBreak/>
        <w:t>Winnipeg (Winnipeg, 2021) et la Ville de Toronto (Toronto, 2017) ont été les premières à adopter ces approches.</w:t>
      </w:r>
    </w:p>
    <w:p w14:paraId="0FEB0DEC" w14:textId="4C5F3F14" w:rsidR="00663860" w:rsidRPr="00E34E46" w:rsidRDefault="009C09FF" w:rsidP="00B73FD8">
      <w:r w:rsidRPr="00E34E46">
        <w:t>L’approvisionnement social favorise la diversité et l’inclusion en créant des possibilités économiques pour des groupes en quête d’équité et d’autres segments ciblés de la population. « Il comprend également les achats effectués auprès de fournisseurs offrant une valeur sociale, tels que des organismes à but non lucratif, des entreprises sociales et des fournisseurs diversifiés. De plus, les fournisseurs doivent fournir une valeur sociale comme condition du contrat, laquelle est souvent décrite dans des ententes sur les retombées locales. » (</w:t>
      </w:r>
      <w:proofErr w:type="spellStart"/>
      <w:r w:rsidRPr="00E34E46">
        <w:t>Revee</w:t>
      </w:r>
      <w:proofErr w:type="spellEnd"/>
      <w:r w:rsidRPr="00E34E46">
        <w:t xml:space="preserve">, 2020). Dans le cadre de l’approvisionnement social et, vu la tendance croissante autour de la diversité, de l’équité et de l’inclusion, une attention accrue est portée à la diversité des chaînes d’approvisionnement. La diversité dans les chaînes d’approvisionnement s’est principalement concentrée sur les petites et moyennes entreprises, les entreprises détenues par des femmes, les entreprises détenues par des membres de la communauté 2SLGBTQ+ et les entreprises détenues par des personnes noires afin d’aborder des questions </w:t>
      </w:r>
      <w:r w:rsidRPr="00E34E46">
        <w:lastRenderedPageBreak/>
        <w:t>d’égalité sociale sous l’angle du pouvoir d’achat du gouvernement (</w:t>
      </w:r>
      <w:proofErr w:type="spellStart"/>
      <w:r w:rsidRPr="00E34E46">
        <w:t>Barraket</w:t>
      </w:r>
      <w:proofErr w:type="spellEnd"/>
      <w:r w:rsidRPr="00E34E46">
        <w:t xml:space="preserve"> et coll., 2015).</w:t>
      </w:r>
    </w:p>
    <w:p w14:paraId="22ACAFD9" w14:textId="346CC8C7" w:rsidR="00B91FB4" w:rsidRPr="00E34E46" w:rsidRDefault="00B91FB4" w:rsidP="00B91FB4">
      <w:pPr>
        <w:rPr>
          <w:bCs/>
        </w:rPr>
      </w:pPr>
      <w:r w:rsidRPr="00E34E46">
        <w:t>La mesure des politiques sociales et de leurs effets est moins tangible que celle des indicateurs économiques traditionnels. Notre analyse municipale des documents d’approvisionnement et des plans d’accessibilité en 2022 révèle que des pratiques d’approvisionnement inclusives prennent en compte la diversité de la chaîne d’approvisionnement. Lorsqu’un rapport était publié, les personnes en situation de handicap constituaient rarement un public cible ou des stratégies de sensibilisation commençaient tout juste à émerger entre 2022 et 2023. Les entreprises sociales constituent une dimension importante de l’approvisionnement social, mais cette approche ne traite pas nécessairement de l’approvisionnement accessible, même si cela pourrait être sous-entendu par ceux qui ne font pas partie du milieu du handicap. Les travaux universitaires établissant un lien entre les entreprises sociales pour les personnes en situation de handicap et l’approvisionnement public constituent une nouvelle voie possible pour la recherche future et l’approvisionnement accessible.</w:t>
      </w:r>
    </w:p>
    <w:p w14:paraId="55701669" w14:textId="5CB4E471" w:rsidR="00124B78" w:rsidRPr="00E34E46" w:rsidRDefault="00124B78" w:rsidP="00B56537">
      <w:pPr>
        <w:pStyle w:val="Heading3"/>
        <w:rPr>
          <w:rFonts w:eastAsia="Times New Roman"/>
        </w:rPr>
      </w:pPr>
      <w:bookmarkStart w:id="55" w:name="_Toc210828500"/>
      <w:r w:rsidRPr="00E34E46">
        <w:lastRenderedPageBreak/>
        <w:t>Approvisionnement auprès d’entreprises autochtones</w:t>
      </w:r>
      <w:bookmarkEnd w:id="55"/>
    </w:p>
    <w:p w14:paraId="28C46D6A" w14:textId="4AD6FB20" w:rsidR="0076241B" w:rsidRPr="00E34E46" w:rsidRDefault="00845FCD" w:rsidP="0076241B">
      <w:r w:rsidRPr="00E34E46">
        <w:t>La première version de la Stratégie d’approvisionnement auprès des entreprises autochtones a été publiée en 2009 pour soutenir les Premières Nations, les Inuits et les Métis dans la création d’une richesse économique (Cravero, 2017). L’approvisionnement autochtone peut être défini comme « un moyen de réconciliation économique ayant le potentiel de corriger les injustices économiques et sociales » (Henriques et coll., 2024) en reconnaissance de l’incidence et de l’héritage de systèmes coloniaux. Vu la prise de conscience croissante dans l’approvisionnement public, et vu la reconnaissance et la formalisation des politiques d’approvisionnement auprès des entreprises autochtones à tous les niveaux du secteur public, de nouvelles formes de valeur sociale doivent être situées par rapport à la culture des Autochtones, à leurs valeurs, à leurs relations et à la réconciliation (Denny-Smith et coll., 2020).</w:t>
      </w:r>
    </w:p>
    <w:p w14:paraId="3827C400" w14:textId="6C4FC21E" w:rsidR="00EE5A95" w:rsidRPr="00E34E46" w:rsidRDefault="0076241B" w:rsidP="001C79F1">
      <w:r w:rsidRPr="00E34E46">
        <w:t xml:space="preserve">Idéalement, il faudrait élaborer des cadres d’évaluation locaux qui sont pertinents sur le plan culturel et créent des avantages réciproques, comme </w:t>
      </w:r>
      <w:r w:rsidRPr="00E34E46">
        <w:lastRenderedPageBreak/>
        <w:t xml:space="preserve">le cadre </w:t>
      </w:r>
      <w:proofErr w:type="spellStart"/>
      <w:r w:rsidRPr="00E34E46">
        <w:t>Ngaa</w:t>
      </w:r>
      <w:proofErr w:type="spellEnd"/>
      <w:r w:rsidRPr="00E34E46">
        <w:t>-bi-</w:t>
      </w:r>
      <w:proofErr w:type="spellStart"/>
      <w:r w:rsidRPr="00E34E46">
        <w:t>nya</w:t>
      </w:r>
      <w:proofErr w:type="spellEnd"/>
      <w:r w:rsidRPr="00E34E46">
        <w:t xml:space="preserve"> des Autochtones australiens et des habitants des îles du détroit de </w:t>
      </w:r>
      <w:proofErr w:type="spellStart"/>
      <w:r w:rsidRPr="00E34E46">
        <w:t>Torrès</w:t>
      </w:r>
      <w:proofErr w:type="spellEnd"/>
      <w:r w:rsidRPr="00E34E46">
        <w:t>. De tels cadres pourraient également contribuer à la réinitialisation des relations et à la promotion des points de vue autochtones dans les politiques d’approvisionnement (Denny-Smith et coll., 2020). Dans l’industrie australienne de la construction, de la valeur sociale doit être créée selon les ontologies locales, les épistémologies et la diversité des expériences vécues des membres des communautés autochtones (Denny-Smith et coll., 2020). Les auteurs soutiennent d’ailleurs qu’un nouveau cadre de mesure de la valeur sociale doit s’appuyer sur les manières d’être locales (ontologie), le savoir (épistémologie) et la façon d’agir (axiologie) des Autochtones australiens (Denny-Smith et coll., 2020).</w:t>
      </w:r>
    </w:p>
    <w:p w14:paraId="2ECFFFD9" w14:textId="351E73DD" w:rsidR="00E436BD" w:rsidRPr="00E34E46" w:rsidRDefault="00EE5A95" w:rsidP="00B56537">
      <w:r w:rsidRPr="00E34E46">
        <w:t xml:space="preserve">Des contrefactuels culturels, c’est-à-dire les répercussions négatives non intentionnelles qui peuvent se présenter, peuvent toutefois émerger si les politiques d’approvisionnement auprès d’entreprises autochtones ne tiennent pas compte de leur culture, de leurs besoins, de leurs valeurs et de leurs structures décisionnelles. Les auteurs soulignent que le fait que ces personnes doivent déménager pour accéder à diverses possibilités et donc absorber des coûts cachés (transport, hébergement, nourriture, par </w:t>
      </w:r>
      <w:r w:rsidRPr="00E34E46">
        <w:lastRenderedPageBreak/>
        <w:t>exemple) peut faire partie de ces répercussions, ce qui les isole de leur entourage (ibidem).</w:t>
      </w:r>
    </w:p>
    <w:p w14:paraId="6896FF9A" w14:textId="6D7ED0D5" w:rsidR="00EE5A95" w:rsidRPr="00E34E46" w:rsidRDefault="00EE5A95" w:rsidP="00B56537">
      <w:r w:rsidRPr="00E34E46">
        <w:t>Des préoccupations ont également été soulevées, notamment sur le fait que de telles possibilités d’approvisionnement puissent privilégier les avantages économiques et sociaux de personnes à titre individuel plutôt que le bien-être de la communauté dans son ensemble. D’autres préoccupations concernaient des entreprises appartenant à des Autochtones et dirigées par des Autochtones, donnant lieu à la création de certifications et de registres d’entreprises autochtones. Il est essentiel de porter une attention particulière pour que l’inclusion symbolique et les véritables avantages pour les communautés locales se manifestent, comme le suggèrent Denny-Smith et ses collaborateurs (2020), en harmonie avec la Déclaration des Nations Unies sur les droits des peuples autochtones.</w:t>
      </w:r>
    </w:p>
    <w:p w14:paraId="03D89B5A" w14:textId="5F662AA4" w:rsidR="00EE5A95" w:rsidRPr="00E34E46" w:rsidRDefault="00EE5A95" w:rsidP="00B56537">
      <w:r w:rsidRPr="00E34E46">
        <w:t xml:space="preserve">Les cadres d’évaluation peuvent mettre davantage en lumière des mesures facilement quantifiables sans aborder les mesures moins tangibles liées au bien-être et à la résilience de communautés entières. Par conséquent, ce sont les communautés locales (ibidem) qui doivent définir la valeur sociale, et non les gouvernements ou les décisionnaires extérieurs </w:t>
      </w:r>
      <w:r w:rsidRPr="00E34E46">
        <w:lastRenderedPageBreak/>
        <w:t>aux communautés. Cette valeur doit être axée davantage sur l’efficacité des politiques dans les communautés locales.</w:t>
      </w:r>
    </w:p>
    <w:p w14:paraId="762E027D" w14:textId="3B55A34A" w:rsidR="002B0E7A" w:rsidRPr="00E34E46" w:rsidRDefault="00EE5A95" w:rsidP="00B56537">
      <w:r w:rsidRPr="00E34E46">
        <w:t>L’approvisionnement auprès d’entreprises autochtones peut favoriser la réconciliation par la passation de marchés et la sous-traitance avec des entreprises autochtones, tout en augmentant les possibilités d’emploi et de renforcement des compétences et en les faisant participer aux dépenses publiques conformément à l’appel à l’action 92 de la Commission de vérité et réconciliation – Les entreprises et la réconciliation – et à la Déclaration des Nations Unies sur les droits des peuples (DNUDPA).</w:t>
      </w:r>
    </w:p>
    <w:p w14:paraId="27CC8E75" w14:textId="66E35C37" w:rsidR="00EE5A95" w:rsidRPr="00E34E46" w:rsidRDefault="00EE5A95" w:rsidP="00B56537">
      <w:r w:rsidRPr="00E34E46">
        <w:t>Les perspectives des décisionnaires et du gouvernement (Cravero, 2017; BOA, 2023) ont donné lieu à des rapports, et les analyses documentaires examinent quant à elles les avantages des programmes de marchés réservés à travers un cadre de référence étroit. Soulignons que ce dernier ne prend pas pleinement en compte les nuances nécessaires à l’approvisionnement auprès des entreprises autochtones, particulièrement en ce qui concerne la souveraineté, l’autonomie gouvernementale et les relations historiques.</w:t>
      </w:r>
    </w:p>
    <w:p w14:paraId="7B4770E6" w14:textId="22E283B4" w:rsidR="00E673B3" w:rsidRPr="00E34E46" w:rsidRDefault="00EE5A95" w:rsidP="00B56537">
      <w:r w:rsidRPr="00E34E46">
        <w:lastRenderedPageBreak/>
        <w:t>Dans leur travail, Henriques et ses collaborateurs (2024) examinent les résultats des données des soumissions de 2009 à mai 2023 ayant donné lieu à la conclusion d’un contrat avec le gouvernement fédéral. Ils indiquent que 793 soumissions déposées par des entreprises autochtones ont été retenues, d’une valeur moyenne de 2 143 318,82 $, et la valeur des contrats allait de 338 $ à 78 661 632 $. C’est dans les centres urbains, principalement à Ottawa, que le plus grand nombre de contrats a été octroyé. Les auteurs soulignent qu’il faut redoubler d’efforts, en plus d’assurer le soutien et la communication pour aider les entreprises autochtones des régions rurales et éloignées à déposer leurs soumissions afin d’obtenir des contrats du gouvernement. Les biens et les services fournis allaient du mobilier de bureau aux services de professionnels de l’information, en passant par divers autres services de soutien aux entreprises. Les auteurs recommandent également que davantage d’entreprises autochtones couvrent les secteurs des TI, des soins infirmiers et des services environnementaux. Leur étude révèle que la plupart des entreprises autochtones ayant obtenu des contrats comptaient d’un à quatre employés, et 56,26 % des contrats octroyés provenaient de Services publics et Approvisionnement Canada.</w:t>
      </w:r>
    </w:p>
    <w:p w14:paraId="6D81F245" w14:textId="449E99BF" w:rsidR="00EE5A95" w:rsidRPr="00E34E46" w:rsidRDefault="00EE5A95" w:rsidP="00B56537">
      <w:r w:rsidRPr="00E34E46">
        <w:lastRenderedPageBreak/>
        <w:t xml:space="preserve">En plus de recueillir des données à partir des dossiers des soumissions, les auteurs ont produit un sondage afin d’en savoir plus sur l’expérience des entreprises qui n’ont peut-être pas réussi à conclure un contrat avec le gouvernement. Un sondage mené auprès des membres de Cando indique que 75 % de ces entreprises appartenaient à des membres des Premières Nations, et 14,2 % à des Métis. On comptait parmi les répondants des propriétaires d’entreprise, des agents de développement économique, des PDG et des gestionnaires fonciers. Ce sont 2 474 des répondants qui ont déposé une soumission, et 975 d’entre elles ont été retenues, ce qui représente un taux de réussite de 39 %. Pour les entreprises autochtones en milieu urbain, le taux de réussite était de 48,4 %, en milieu rural de 38,6 %, et en milieu éloigné de 29,4 %. Ces taux révèlent une différence dans l’accès aux ressources nécessaires selon les localités. Parmi les raisons derrière la réussite de certaines personnes, citons leur reconnaissance en tant qu’entreprise autochtone, la grande qualité de leur offre, des prix concurrentiels, et leur connaissance locale et territoriale. Les obstacles comprenaient le manque d’accès aux ressources et la perception que le processus de demande de propositions est ardu. Le travail d’Henriques et de ses collaborateurs (2024) met en lumière la nécessité de </w:t>
      </w:r>
      <w:r w:rsidRPr="00E34E46">
        <w:lastRenderedPageBreak/>
        <w:t>soutenir les communautés rurales et éloignées en leur offrant des ressources et des formations en entrepreneuriat, en leur communiquant les occasions proposées par le gouvernement, et en leur fournissant du mentorat concernant le processus de soumission au gouvernement. Le gouvernement du Canada tient un Répertoire des entreprises autochtones, mais il existe d’autres sources de reconnaissance pour ces entreprises, notamment la liste des entreprises bénéficiaires d’un traité moderne. Toutefois il est important de maintenir la disponibilité des ressources à long terme et l’engagement auprès des communautés locales (Henriques et coll., 2024).</w:t>
      </w:r>
    </w:p>
    <w:p w14:paraId="2D38441E" w14:textId="2E94F0B1" w:rsidR="00EE5A95" w:rsidRPr="00E34E46" w:rsidRDefault="00EE5A95" w:rsidP="007350AC">
      <w:r w:rsidRPr="00E34E46">
        <w:t>« En harmonisant les contrats plus étroitement avec les compétences et les capacités actuelles des entreprises autochtones (dont certaines s’appuient sur des connaissances et des façons d’être traditionnels et d’autres qui montrent un leadership dans les secteurs émergents), le gouvernement peut tirer parti d’un courant riche d’expertise et de ressources » (Henriques et coll., 2024, p. 8).</w:t>
      </w:r>
    </w:p>
    <w:p w14:paraId="629A00E6" w14:textId="309BA388" w:rsidR="00EE5A95" w:rsidRPr="00E34E46" w:rsidRDefault="00EE5A95" w:rsidP="00B56537">
      <w:r w:rsidRPr="00E34E46">
        <w:t xml:space="preserve">Malgré le niveau de preuve qui existe, il est de toute évidence nécessaire de poursuivre le travail avec les communautés autochtones et de favoriser la réconciliation économique d’une nation à l’autre et </w:t>
      </w:r>
      <w:r w:rsidRPr="00E34E46">
        <w:lastRenderedPageBreak/>
        <w:t>l’autodétermination, tout en soutenant la diversité des communautés autochtones et du savoir dans les processus d’approvisionnement public. Le travail de fond et le paysage mis en place par les dirigeants autochtones pour garantir la responsabilisation en matière d’approvisionnement autochtone devraient continuer de croître, car ils offrent un chemin potentiel pour envisager l’inclusion des personnes en situation de handicap et l’approvisionnement accessible.</w:t>
      </w:r>
    </w:p>
    <w:p w14:paraId="7F266427" w14:textId="62D11B21" w:rsidR="00BF6BB2" w:rsidRPr="00E34E46" w:rsidRDefault="00BF6BB2" w:rsidP="00BF6BB2">
      <w:pPr>
        <w:rPr>
          <w:b/>
        </w:rPr>
      </w:pPr>
      <w:r w:rsidRPr="00E34E46">
        <w:t xml:space="preserve">Que ce soit en nous tournant vers l’approvisionnement durable ou éthique, en abordant les répercussions et le triple résultat, il reste des avenues de recherche sous-explorées au Canada dans toutes les formes d’approvisionnement. Il existe des travaux prometteurs, où les méthodes et les pratiques peuvent se croiser et peuvent </w:t>
      </w:r>
      <w:r w:rsidRPr="00E34E46">
        <w:rPr>
          <w:b/>
          <w:bCs/>
        </w:rPr>
        <w:t>contribuer</w:t>
      </w:r>
      <w:r w:rsidRPr="00E34E46">
        <w:t xml:space="preserve"> à la croissance de l’approvisionnement accessible. Nous nous tournons ainsi vers le contexte élargi de l’approvisionnement accessible dans différents territoires de compétence ci-dessous.</w:t>
      </w:r>
    </w:p>
    <w:p w14:paraId="6903ACB8" w14:textId="38285A8B" w:rsidR="00935A2B" w:rsidRPr="00E34E46" w:rsidRDefault="00935A2B" w:rsidP="00B56537">
      <w:pPr>
        <w:pStyle w:val="Heading3"/>
      </w:pPr>
      <w:bookmarkStart w:id="56" w:name="_Toc210828501"/>
      <w:r w:rsidRPr="00E34E46">
        <w:lastRenderedPageBreak/>
        <w:t>Approvisionnement accessible</w:t>
      </w:r>
      <w:bookmarkEnd w:id="56"/>
    </w:p>
    <w:p w14:paraId="2C8C73F2" w14:textId="298A102F" w:rsidR="00B852DD" w:rsidRPr="00E34E46" w:rsidRDefault="00B852DD" w:rsidP="001E34D1">
      <w:r w:rsidRPr="00E34E46">
        <w:t>Ce n’est que récemment que l’approvisionnement accessible a été défini comme l’intégration de l’accessibilité dans les processus d’approvisionnement organisationnels (TRAES, 2023) afin que les biens et les services soient accessibles au plus large éventail de capacités humaines et que toutes les personnes puissent participer et bénéficier des initiatives d’approvisionnement du secteur public, dans la mesure du possible. L’approvisionnement accessible et l’accessibilité dans l’approvisionnement sont centrés sur les besoins humains plutôt que sur l’approvisionnement destiné au handicap. Pour un approvisionnement accessible, il faut passer d’une approche consistant à acheter pour l’accessibilité à une approche consistant à acheter avec l’accessibilité tout au long du cycle d’approvisionnement. Cela inclut non seulement des produits accessibles, mais aussi des processus accessibles et des engagements de la part des fournisseurs, de même que le développement de chaînes d’approvisionnement accessibles et inclusives.</w:t>
      </w:r>
    </w:p>
    <w:p w14:paraId="77CCA912" w14:textId="1410E160" w:rsidR="00866731" w:rsidRPr="00E34E46" w:rsidRDefault="00866731" w:rsidP="002D215D">
      <w:pPr>
        <w:pStyle w:val="APAFigureCaption"/>
      </w:pPr>
      <w:bookmarkStart w:id="57" w:name="_Toc224833494"/>
      <w:r w:rsidRPr="00E34E46">
        <w:lastRenderedPageBreak/>
        <w:t xml:space="preserve">Figure </w:t>
      </w:r>
      <w:fldSimple w:instr=" SEQ Figure \* ARABIC ">
        <w:r w:rsidR="005C5139" w:rsidRPr="00E34E46">
          <w:rPr>
            <w:noProof/>
          </w:rPr>
          <w:t>1</w:t>
        </w:r>
      </w:fldSimple>
      <w:r w:rsidR="002C2536" w:rsidRPr="00E34E46">
        <w:t xml:space="preserve"> </w:t>
      </w:r>
      <w:r w:rsidR="00A2046A" w:rsidRPr="00E34E46">
        <w:br/>
      </w:r>
      <w:r w:rsidRPr="00E34E46">
        <w:rPr>
          <w:b w:val="0"/>
          <w:bCs w:val="0"/>
          <w:i/>
          <w:iCs/>
        </w:rPr>
        <w:t>Formes de cadres d’approvisionnement influençant l’approvisionnement accessible</w:t>
      </w:r>
      <w:bookmarkEnd w:id="57"/>
    </w:p>
    <w:p w14:paraId="70FF343A" w14:textId="61487017" w:rsidR="00C965FE" w:rsidRPr="00E34E46" w:rsidRDefault="00147122" w:rsidP="00147122">
      <w:pPr>
        <w:ind w:firstLine="0"/>
      </w:pPr>
      <w:r w:rsidRPr="00E34E46">
        <w:rPr>
          <w:noProof/>
        </w:rPr>
        <w:drawing>
          <wp:inline distT="0" distB="0" distL="0" distR="0" wp14:anchorId="3300FB39" wp14:editId="78947AD0">
            <wp:extent cx="4191000" cy="3314700"/>
            <wp:effectExtent l="0" t="0" r="0" b="0"/>
            <wp:docPr id="465509153" name="Picture 1" descr="Cinq piliers verticaux représentant la durabilité, l’innovation, l’aspect social, les Autochtones et l’approvisionnement acces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09153" name="Picture 1" descr="Cinq piliers verticaux représentant la durabilité, l’innovation, l’aspect social, les Autochtones et l’approvisionnement accessible. "/>
                    <pic:cNvPicPr/>
                  </pic:nvPicPr>
                  <pic:blipFill rotWithShape="1">
                    <a:blip r:embed="rId11">
                      <a:extLst>
                        <a:ext uri="{28A0092B-C50C-407E-A947-70E740481C1C}">
                          <a14:useLocalDpi xmlns:a14="http://schemas.microsoft.com/office/drawing/2010/main" val="0"/>
                        </a:ext>
                      </a:extLst>
                    </a:blip>
                    <a:srcRect l="14264" t="10769" r="15224"/>
                    <a:stretch>
                      <a:fillRect/>
                    </a:stretch>
                  </pic:blipFill>
                  <pic:spPr bwMode="auto">
                    <a:xfrm>
                      <a:off x="0" y="0"/>
                      <a:ext cx="4191000" cy="3314700"/>
                    </a:xfrm>
                    <a:prstGeom prst="rect">
                      <a:avLst/>
                    </a:prstGeom>
                    <a:ln>
                      <a:noFill/>
                    </a:ln>
                    <a:extLst>
                      <a:ext uri="{53640926-AAD7-44D8-BBD7-CCE9431645EC}">
                        <a14:shadowObscured xmlns:a14="http://schemas.microsoft.com/office/drawing/2010/main"/>
                      </a:ext>
                    </a:extLst>
                  </pic:spPr>
                </pic:pic>
              </a:graphicData>
            </a:graphic>
          </wp:inline>
        </w:drawing>
      </w:r>
    </w:p>
    <w:p w14:paraId="516324E2" w14:textId="71034C34" w:rsidR="001A442B" w:rsidRPr="00E34E46" w:rsidRDefault="00F15FE5" w:rsidP="00B56537">
      <w:r w:rsidRPr="00E34E46">
        <w:rPr>
          <w:rStyle w:val="Emphasis"/>
        </w:rPr>
        <w:t xml:space="preserve">Description de l’image : </w:t>
      </w:r>
      <w:r w:rsidRPr="00E34E46">
        <w:t xml:space="preserve">Cinq piliers verticaux représentant la durabilité, l’innovation, l’aspect social, les Autochtones et l’approvisionnement accessible. Les icônes circulaires dans chaque colonne comprennent un arbre, une ampoule, des balances de justice illustrant l’égalité, une plume et l’icône montrant un mouvement vers l’avant, </w:t>
      </w:r>
      <w:r w:rsidRPr="00E34E46">
        <w:lastRenderedPageBreak/>
        <w:t xml:space="preserve">représentant le handicap. Une flèche bleue bidirectionnelle traverse, au bas, les cinq formes d’approvisionnement, représentant ainsi leurs interrelations. </w:t>
      </w:r>
    </w:p>
    <w:p w14:paraId="5B1654B0" w14:textId="180DBA0A" w:rsidR="005D7460" w:rsidRPr="00E34E46" w:rsidRDefault="005D7460" w:rsidP="00E90382">
      <w:r w:rsidRPr="00E34E46">
        <w:t>Malgré la diversité de la terminologie, et vu la nature interdisciplinaire des marchés publics, l’approvisionnement accessible doit s’appuyer sur les leçons tirées de ces tendances courantes. L’approvisionnement accessible crée de la valeur pour la société, ce qui dépasse la simple valeur économique, tout en intégrant des avantages sociaux et élargis. Il est étroitement lié à l’innovation, qui doit passer par le développement de solutions pour le secteur public et combler les lacunes de marché. En utilisant les dépôts de demande de brevet comme indicateurs d’innovation, l’approvisionnement accessible peut accroître l’innovation pour stimuler des industries locales et la diversification de marchés. Néanmoins, de la recherche doit être menée pour étayer ces liens.</w:t>
      </w:r>
    </w:p>
    <w:p w14:paraId="73B1119D" w14:textId="3CD37A75" w:rsidR="00C00D9F" w:rsidRPr="00E34E46" w:rsidRDefault="009476B6" w:rsidP="00032DAC">
      <w:pPr>
        <w:rPr>
          <w:rFonts w:cstheme="majorBidi"/>
          <w:color w:val="0F4761" w:themeColor="accent1" w:themeShade="BF"/>
          <w:sz w:val="32"/>
          <w:szCs w:val="32"/>
        </w:rPr>
      </w:pPr>
      <w:r w:rsidRPr="00E34E46">
        <w:t xml:space="preserve">L’approvisionnement auprès d’entreprises autochtones et l’approvisionnement accessible ont des points communs. Néanmoins, le domaine le plus vaste et le plus riche en travaux concerne l’approvisionnement écologique et durable, tant dans la littérature universitaire que dans différents secteurs et différentes industries. À partir </w:t>
      </w:r>
      <w:r w:rsidRPr="00E34E46">
        <w:lastRenderedPageBreak/>
        <w:t xml:space="preserve">de ces travaux, nous pouvons emprunter des modèles de maturité, des indicateurs internationaux, le rôle des politiques gouvernementales, la manière de gérer les risques et l’importance des professionnels de l’approvisionnement. De l’approvisionnement social, nous </w:t>
      </w:r>
      <w:proofErr w:type="spellStart"/>
      <w:r w:rsidRPr="00E34E46">
        <w:t>co-créons</w:t>
      </w:r>
      <w:proofErr w:type="spellEnd"/>
      <w:r w:rsidRPr="00E34E46">
        <w:t xml:space="preserve"> de la valeur pour les communautés locales et abordons les droits de la personne. De l’approvisionnement auprès d’entreprises autochtones, nous voyons la promesse et le potentiel d’un solide cadre de responsabilité.</w:t>
      </w:r>
      <w:r w:rsidR="00C00D9F" w:rsidRPr="00E34E46">
        <w:br w:type="page"/>
      </w:r>
    </w:p>
    <w:p w14:paraId="3356A32B" w14:textId="0EC0914B" w:rsidR="00044612" w:rsidRPr="00E34E46" w:rsidRDefault="004770A5" w:rsidP="00B56537">
      <w:pPr>
        <w:pStyle w:val="Heading2"/>
      </w:pPr>
      <w:bookmarkStart w:id="58" w:name="_Toc224836477"/>
      <w:bookmarkStart w:id="59" w:name="_Toc224836705"/>
      <w:r w:rsidRPr="00E34E46">
        <w:lastRenderedPageBreak/>
        <w:t>Chapitre 3 : Analyse environnementale de l’approvisionnement accessible</w:t>
      </w:r>
      <w:bookmarkEnd w:id="58"/>
      <w:bookmarkEnd w:id="59"/>
    </w:p>
    <w:p w14:paraId="49C17871" w14:textId="6BECCEB8" w:rsidR="00691354" w:rsidRPr="00E34E46" w:rsidRDefault="00F823BB" w:rsidP="005C2A27">
      <w:pPr>
        <w:rPr>
          <w:rStyle w:val="normaltextrun"/>
        </w:rPr>
      </w:pPr>
      <w:bookmarkStart w:id="60" w:name="_Toc168754478"/>
      <w:r w:rsidRPr="00E34E46">
        <w:t>Dans le cadre de la rédaction du présent rapport, une analyse environnementale complète a été réalisée pour comprendre les lois et les politiques en matière d’approvisionnement accessible. Nous cherchions à comprendre comment l’accessibilité est abordée par les cadres actuels d’approvisionnement social et d’approvisionnement inclusif au Canada (voir le chapitre 2) et à l’étranger.</w:t>
      </w:r>
      <w:r w:rsidRPr="00E34E46">
        <w:rPr>
          <w:rStyle w:val="normaltextrun"/>
        </w:rPr>
        <w:t xml:space="preserve"> En commençant à examiner la littérature universitaire, nous avons constaté des lacunes importantes concernant l’approvisionnement accessible, en particulier dans les articles des bibliothèques d’enseignement supérieur </w:t>
      </w:r>
      <w:r w:rsidRPr="00E34E46">
        <w:t>(Falloon, 2016; Falloon et M. O’Reilly, 2020; O’Reilly, 2020)</w:t>
      </w:r>
      <w:r w:rsidRPr="00E34E46">
        <w:rPr>
          <w:rStyle w:val="normaltextrun"/>
        </w:rPr>
        <w:t xml:space="preserve"> et les secteurs de la construction </w:t>
      </w:r>
      <w:r w:rsidRPr="00E34E46">
        <w:t xml:space="preserve">(Loosemore, </w:t>
      </w:r>
      <w:proofErr w:type="spellStart"/>
      <w:r w:rsidRPr="00E34E46">
        <w:t>Alkilani</w:t>
      </w:r>
      <w:proofErr w:type="spellEnd"/>
      <w:r w:rsidRPr="00E34E46">
        <w:t xml:space="preserve"> et coll., 2020; Loosemore, </w:t>
      </w:r>
      <w:proofErr w:type="spellStart"/>
      <w:r w:rsidRPr="00E34E46">
        <w:t>Higgon</w:t>
      </w:r>
      <w:proofErr w:type="spellEnd"/>
      <w:r w:rsidRPr="00E34E46">
        <w:t xml:space="preserve"> et coll., 2020; Winter et coll., 2016)</w:t>
      </w:r>
      <w:r w:rsidRPr="00E34E46">
        <w:rPr>
          <w:rStyle w:val="normaltextrun"/>
        </w:rPr>
        <w:t xml:space="preserve"> ou de l’extraction </w:t>
      </w:r>
      <w:r w:rsidRPr="00E34E46">
        <w:t>(Warner, 2011), ce qui signifie un accès aux ressources</w:t>
      </w:r>
      <w:r w:rsidRPr="00E34E46">
        <w:rPr>
          <w:rStyle w:val="normaltextrun"/>
        </w:rPr>
        <w:t>.</w:t>
      </w:r>
    </w:p>
    <w:p w14:paraId="62ECEAE0" w14:textId="77777777" w:rsidR="00624D66" w:rsidRPr="00E34E46" w:rsidRDefault="00624D66" w:rsidP="00624D66">
      <w:pPr>
        <w:pStyle w:val="Heading3"/>
        <w:rPr>
          <w:sz w:val="18"/>
          <w:szCs w:val="18"/>
        </w:rPr>
      </w:pPr>
      <w:bookmarkStart w:id="61" w:name="_Toc210828504"/>
      <w:r w:rsidRPr="00E34E46">
        <w:rPr>
          <w:rStyle w:val="normaltextrun"/>
          <w:b w:val="0"/>
        </w:rPr>
        <w:lastRenderedPageBreak/>
        <w:t>Méthodes</w:t>
      </w:r>
      <w:bookmarkEnd w:id="61"/>
    </w:p>
    <w:p w14:paraId="35FB8B1D" w14:textId="2107E03F" w:rsidR="00624D66" w:rsidRPr="00E34E46" w:rsidRDefault="00624D66" w:rsidP="00624D66">
      <w:pPr>
        <w:rPr>
          <w:rFonts w:eastAsiaTheme="minorHAnsi"/>
        </w:rPr>
      </w:pPr>
      <w:r w:rsidRPr="00E34E46">
        <w:t>Nous avons effectué une recherche pour des articles universitaires interdisciplinaires évalués par des pairs qui portent sur l’approvisionnement et les cadres connexes. Un accent a été mis sur des normes, des politiques et des lois internationales en matière d’accessibilité concernant l’acquisition de biens, de services et d’infrastructures. La littérature grise provenant de recherches en ligne sur la loi, les politiques et les règlements clés des divers pays a également été incluse. De plus, les mots-clés suivants ont été utilisés dans la recherche : handicap, normes d’accessibilité, approvisionnement, politiques, approvisionnement social, approvisionnement accessible, adaptation, Canada, Nations Unies, États-Unis et Royaume-Uni.</w:t>
      </w:r>
    </w:p>
    <w:p w14:paraId="0E14950E" w14:textId="6C1B3C7F" w:rsidR="00624D66" w:rsidRPr="00E34E46" w:rsidRDefault="00624D66" w:rsidP="00624D66">
      <w:pPr>
        <w:rPr>
          <w:sz w:val="18"/>
          <w:szCs w:val="18"/>
        </w:rPr>
      </w:pPr>
      <w:r w:rsidRPr="00E34E46">
        <w:rPr>
          <w:rStyle w:val="normaltextrun"/>
        </w:rPr>
        <w:t xml:space="preserve">Des documents ont été recueillis pour examen auprès d’organisations pour les personnes en situation de handicap, de sites Web fédéraux et provinciaux et d’autres sources. De plus, des documents de la Stratégie des Nations Unies pour l’inclusion du handicap, du United States Access Board, de SPAC, du Secrétariat du Conseil du Trésor et d’autres organisations multilatérales ont été examinés. L’équipe a également examiné des rapports </w:t>
      </w:r>
      <w:r w:rsidRPr="00E34E46">
        <w:rPr>
          <w:rStyle w:val="normaltextrun"/>
        </w:rPr>
        <w:lastRenderedPageBreak/>
        <w:t>et des stratégies liés aux documents sur l’approvisionnement auprès des entreprises autochtones du Canada, de l’Australie et de la Nouvelle-Zélande.</w:t>
      </w:r>
    </w:p>
    <w:p w14:paraId="46A6F26F" w14:textId="00E4310A" w:rsidR="00624D66" w:rsidRPr="00E34E46" w:rsidRDefault="00624D66" w:rsidP="00624D66">
      <w:pPr>
        <w:rPr>
          <w:sz w:val="18"/>
          <w:szCs w:val="18"/>
        </w:rPr>
      </w:pPr>
      <w:r w:rsidRPr="00E34E46">
        <w:rPr>
          <w:rStyle w:val="normaltextrun"/>
        </w:rPr>
        <w:t>L’approvisionnement accessible nécessite une stratégie en plusieurs phases utilisant des techniques distinctes en raison des cadres de collecte de données limités présents au Canada.  Au municipal, les politiques d’approvisionnement ont été revues en parallèle avec les documents relatifs à la gestion des fournisseurs, aux plans ou aux stratégies d’accessibilité, et avec les rapports de suivi des municipalités.</w:t>
      </w:r>
    </w:p>
    <w:p w14:paraId="63482CD6" w14:textId="3EADBC49" w:rsidR="00624D66" w:rsidRPr="00E34E46" w:rsidRDefault="00624D66" w:rsidP="00032DAC">
      <w:pPr>
        <w:rPr>
          <w:rStyle w:val="normaltextrun"/>
        </w:rPr>
      </w:pPr>
      <w:r w:rsidRPr="00E34E46">
        <w:rPr>
          <w:rStyle w:val="normaltextrun"/>
        </w:rPr>
        <w:t>Des organisations de normalisation canadiennes et internationales, telles que l’Organisation internationale de normalisation (ISO), qui s’occupent d’accessibilité et d’approvisionnement ont été examinées. Les trousses d’outils et les séances d’information destinées aux propriétaires d’entreprises et aux organisations qui instruisent la population sur l’approvisionnement ont été examinées, lorsque celles-ci étaient disponibles. Toutefois, les outils et les ressources de formation destinés aux professionnels de l’approvisionnement ne sont pas souvent rendus publics.</w:t>
      </w:r>
      <w:r w:rsidRPr="00E34E46">
        <w:rPr>
          <w:sz w:val="18"/>
        </w:rPr>
        <w:t xml:space="preserve"> </w:t>
      </w:r>
      <w:r w:rsidRPr="00E34E46">
        <w:rPr>
          <w:rStyle w:val="normaltextrun"/>
        </w:rPr>
        <w:t xml:space="preserve">À partir de ces synthèses de la littérature grise et de la littérature universitaire, nous avons voulu aborder le niveau d’accessibilité dans les </w:t>
      </w:r>
      <w:r w:rsidRPr="00E34E46">
        <w:rPr>
          <w:rStyle w:val="normaltextrun"/>
        </w:rPr>
        <w:lastRenderedPageBreak/>
        <w:t>processus d’approvisionnement actuels, ainsi que les obstacles qui ont entravé la mise en œuvre de l’approvisionnement accessible, et les difficultés auxquelles se sont heurtés les fournisseurs dans la chaîne d’approvisionnement. </w:t>
      </w:r>
    </w:p>
    <w:p w14:paraId="5A6B14ED" w14:textId="115C2107" w:rsidR="00253719" w:rsidRPr="00E34E46" w:rsidRDefault="00253719" w:rsidP="00B56537">
      <w:pPr>
        <w:rPr>
          <w:rStyle w:val="normaltextrun"/>
        </w:rPr>
      </w:pPr>
      <w:r w:rsidRPr="00E34E46">
        <w:rPr>
          <w:rStyle w:val="normaltextrun"/>
        </w:rPr>
        <w:t xml:space="preserve">L’une des premières approches du handicap liées à l’approvisionnement remonte aux lois sur les droits de la personne, notamment l’article 508 aux États-Unis, ainsi que la </w:t>
      </w:r>
      <w:proofErr w:type="spellStart"/>
      <w:r w:rsidRPr="00E34E46">
        <w:rPr>
          <w:rStyle w:val="normaltextrun"/>
          <w:i/>
          <w:iCs/>
        </w:rPr>
        <w:t>Disability</w:t>
      </w:r>
      <w:proofErr w:type="spellEnd"/>
      <w:r w:rsidRPr="00E34E46">
        <w:rPr>
          <w:rStyle w:val="normaltextrun"/>
          <w:i/>
          <w:iCs/>
        </w:rPr>
        <w:t xml:space="preserve"> Discrimination </w:t>
      </w:r>
      <w:proofErr w:type="spellStart"/>
      <w:r w:rsidRPr="00E34E46">
        <w:rPr>
          <w:rStyle w:val="normaltextrun"/>
          <w:i/>
          <w:iCs/>
        </w:rPr>
        <w:t>Act</w:t>
      </w:r>
      <w:proofErr w:type="spellEnd"/>
      <w:r w:rsidRPr="00E34E46">
        <w:rPr>
          <w:rStyle w:val="normaltextrun"/>
        </w:rPr>
        <w:t xml:space="preserve"> du Royaume-Uni </w:t>
      </w:r>
      <w:r w:rsidRPr="00E34E46">
        <w:t>(Boyle, 2009)</w:t>
      </w:r>
      <w:r w:rsidRPr="00E34E46">
        <w:rPr>
          <w:rStyle w:val="normaltextrun"/>
        </w:rPr>
        <w:t xml:space="preserve">. À propos de la directive de 2004 de la Commission européenne, trois « innovations » majeures ont été soulignées en ce qui a trait à l’approvisionnement pour les personnes en situation de handicap, à savoir : intégrer le handicap dans les caractéristiques des contrats, réserver des contrats à l’emploi protégé pour les personnes en situation de handicap, puis exprimer des engagements sociaux dans les contrats </w:t>
      </w:r>
      <w:r w:rsidRPr="00E34E46">
        <w:t>(Boyle, 2009)</w:t>
      </w:r>
      <w:r w:rsidRPr="00E34E46">
        <w:rPr>
          <w:rStyle w:val="normaltextrun"/>
        </w:rPr>
        <w:t xml:space="preserve">. Des préoccupations ont déjà été soulevées concernant le pragmatisme de normes ambitieuses ou élevées, mais mal définies. Face à ces ambiguïtés, des fournisseurs ont résisté à l’adoption d’exigences en matière d’accessibilité imposées par un tribunal </w:t>
      </w:r>
      <w:r w:rsidRPr="00E34E46">
        <w:t>(Boyle, 2009)</w:t>
      </w:r>
      <w:r w:rsidRPr="00E34E46">
        <w:rPr>
          <w:rStyle w:val="normaltextrun"/>
        </w:rPr>
        <w:t>. Un dernier obstacle à la mise en œuvre de l’article 508 aux États-</w:t>
      </w:r>
      <w:r w:rsidRPr="00E34E46">
        <w:rPr>
          <w:rStyle w:val="normaltextrun"/>
        </w:rPr>
        <w:lastRenderedPageBreak/>
        <w:t xml:space="preserve">Unis était lié à la perception d’une majoration de coût, qui n’a pas pu être justifiée par des analyses de rentabilité servant à soutenir les principes de l’Accord sur les marchés publics de l’OMC (Boyle, 2009). La résolution entre la hiérarchisation de la valeur sociale et la meilleure rentabilisation doit être définie à l’échelle législative, puis mise en œuvre. Il existe, en outre, une forte probabilité de stagnation ou d’inaction. Cependant, du point de vue des politiques et de la législation, de nombreuses idées clés appuyant l’approvisionnement accessible sont abordées ou émergent dans le cadre de la quête d’égalité des personnes en situation de handicap dans les pratiques d’approvisionnement à cette époque </w:t>
      </w:r>
      <w:r w:rsidRPr="00E34E46">
        <w:t xml:space="preserve">(Boyle, 2009; </w:t>
      </w:r>
      <w:proofErr w:type="spellStart"/>
      <w:r w:rsidRPr="00E34E46">
        <w:t>Yukins</w:t>
      </w:r>
      <w:proofErr w:type="spellEnd"/>
      <w:r w:rsidRPr="00E34E46">
        <w:t>, 2004).</w:t>
      </w:r>
    </w:p>
    <w:p w14:paraId="590EBB30" w14:textId="271589FB" w:rsidR="00253719" w:rsidRPr="00E34E46" w:rsidRDefault="00253719" w:rsidP="00B56537">
      <w:pPr>
        <w:rPr>
          <w:rStyle w:val="normaltextrun"/>
        </w:rPr>
      </w:pPr>
      <w:r w:rsidRPr="00E34E46">
        <w:rPr>
          <w:rStyle w:val="eop"/>
        </w:rPr>
        <w:t>L’</w:t>
      </w:r>
      <w:r w:rsidRPr="00E34E46">
        <w:rPr>
          <w:rStyle w:val="normaltextrun"/>
        </w:rPr>
        <w:t xml:space="preserve">article 9 de la Convention relative aux droits des personnes handicapées (CIDPH) insiste sur le besoin d’apporter des mesures d’adaptation accessible dans différents domaines (DAESNU, s. d.). La CIDPH souligne l’obligation des États parties de garantir l’intégration de l’accessibilité dans les processus de passation de marchés publics. Elle positionne notamment l’accessibilité des TIC comme un aspect fondamental des droits d’accessibilité en général, aux côtés de l’accès à l’infrastructure physique, comme les bâtiments et les transports (DAESNU, 2022). À cet </w:t>
      </w:r>
      <w:r w:rsidRPr="00E34E46">
        <w:rPr>
          <w:rStyle w:val="normaltextrun"/>
        </w:rPr>
        <w:lastRenderedPageBreak/>
        <w:t>égard, la Stratégie des Nations Unies pour l’inclusion du handicap, en particulier l’indicateur 8 sur l’approvisionnement, s’avère une avancée importante. Cette politique, mise en œuvre en</w:t>
      </w:r>
      <w:r w:rsidR="00032DAC" w:rsidRPr="00E34E46">
        <w:rPr>
          <w:rStyle w:val="normaltextrun"/>
        </w:rPr>
        <w:t xml:space="preserve"> </w:t>
      </w:r>
      <w:r w:rsidRPr="00E34E46">
        <w:rPr>
          <w:rStyle w:val="normaltextrun"/>
        </w:rPr>
        <w:t xml:space="preserve">2019 dans divers départements et divisions des Nations Unies, incarne l’idée d’inclusion des personnes en situation de handicap en encourageant leur participation significative dans tous les domaines de la vie. L’approvisionnement public inclusif en matière de handicap adopte un modèle biopsychosocial du handicap, des domaines de l’accessibilité, de la conception universelle, des mesures d’adaptation raisonnables, de l’établissement de liens harmonieux, et la participation significative des personnes en situation de handicap et des personnes se heurtant à des obstacles liés à leur situation (UNESCAP, 2019). Il existe deux formes d’approvisionnement inclusif en matière de handicap : les contrats préférentiels et l’approvisionnement qui promeut l’accessibilité (UNESCAP, 2019, p. 23). Les programmes de contrats préférentiels ou de marchés réservés accroissent l’importance de l’engagement grâce à des processus d’approvisionnement public afin de promouvoir et de corriger les inégalités sociales et économiques qui sont profondément enracinées. </w:t>
      </w:r>
      <w:r w:rsidRPr="00E34E46">
        <w:t>L’</w:t>
      </w:r>
      <w:r w:rsidRPr="00E34E46">
        <w:rPr>
          <w:rStyle w:val="normaltextrun"/>
        </w:rPr>
        <w:t xml:space="preserve">approvisionnement servant à promouvoir l’accessibilité vise à intégrer les principes de conception universelle dans les critères de sélection d’un </w:t>
      </w:r>
      <w:r w:rsidRPr="00E34E46">
        <w:rPr>
          <w:rStyle w:val="normaltextrun"/>
        </w:rPr>
        <w:lastRenderedPageBreak/>
        <w:t xml:space="preserve">fournisseur potentiel pour satisfaire aux normes d’accessibilité ou démontrer leur conformité ou leur engagement </w:t>
      </w:r>
      <w:r w:rsidRPr="00E34E46">
        <w:t>(Gupta et Zanetti, 2015).</w:t>
      </w:r>
      <w:r w:rsidRPr="00E34E46">
        <w:rPr>
          <w:rStyle w:val="normaltextrun"/>
        </w:rPr>
        <w:t xml:space="preserve"> Mentionnons notamment l’intégration de l’accessibilité dans les processus d’approvisionnement, tout en insistant sur les principes de conception universelle, l’établissement de mécanismes de responsabilisation et le suivi des progrès dans l’ensemble des organismes de l’ONU. « </w:t>
      </w:r>
      <w:r w:rsidRPr="00E34E46">
        <w:t xml:space="preserve">Le besoin d’approches multilatérales pour investir dans l’accessibilité reflète les mêmes exigences que celles des approches </w:t>
      </w:r>
      <w:proofErr w:type="spellStart"/>
      <w:r w:rsidRPr="00E34E46">
        <w:t>interpiliers</w:t>
      </w:r>
      <w:proofErr w:type="spellEnd"/>
      <w:r w:rsidRPr="00E34E46">
        <w:t xml:space="preserve"> pour le développement durable dans le contexte du programme. » (UNESCAP, 2019, p. 11). </w:t>
      </w:r>
      <w:r w:rsidRPr="00E34E46">
        <w:rPr>
          <w:rStyle w:val="normaltextrun"/>
        </w:rPr>
        <w:t>Si les facteurs d’accessibilité à prendre en compte sont intégrés aux pratiques d’approvisionnement, la stratégie est alors conforme au mandat de la CIDPH, en plus de faire progresser l’objectif global de promouvoir les droits et l’inclusion des personnes en situation de handicap à l’échelle mondiale (DAESNU, 2022), sans compter les ODD. Enfin, soulignons la présence d’un impératif éthique : si les fonds publics servent l’achat de biens et de services, tous les membres de la société doivent en tirer la même valeur et les mêmes avantages, qu’ils soient en situation de handicap ou non et qu’ils aient ou non besoin d’accessibilité (UNESCAP, 2019).</w:t>
      </w:r>
    </w:p>
    <w:p w14:paraId="252FFA47" w14:textId="493043AB" w:rsidR="00253719" w:rsidRPr="00E34E46" w:rsidRDefault="00253719" w:rsidP="00B56537">
      <w:r w:rsidRPr="00E34E46">
        <w:rPr>
          <w:rStyle w:val="normaltextrun"/>
        </w:rPr>
        <w:lastRenderedPageBreak/>
        <w:t>L’accessibilité doit désormais faire partie du processus d’approvisionnement du gouvernement du Canada. D’ailleurs, l’article 4.2.26 précise la nécessité d’introduire des caractéristiques d’accessibilité dans les livrables, demandant ainsi aux ministères qu’ils intègrent les exigences en matière d’accessibilité dans les spécifications des biens et des services (SPAC, 2020). Cette indication souligne l’engagement envers l’inclusivité et garantit que les produits et les services seront accessibles à tous, conformément aux objectifs sociétaux élargis d’équité et d’accessibilité.</w:t>
      </w:r>
    </w:p>
    <w:bookmarkEnd w:id="60"/>
    <w:p w14:paraId="200F99F5" w14:textId="077FB430" w:rsidR="00EB6AE4" w:rsidRPr="00E34E46" w:rsidRDefault="006779A3" w:rsidP="00B56537">
      <w:r w:rsidRPr="00E34E46">
        <w:rPr>
          <w:rStyle w:val="normaltextrun"/>
        </w:rPr>
        <w:t>Dans le cadre du Programme 2030 des objectifs de développement durable (ODD), l’objectif 8 a pour but de garantir un emploi à temps plein et productif ainsi que des possibilités d’emploi décent à tous, en encourageant une croissance économique soutenue, inclusive et durable. S’il met en lumière le changement transformationnel pouvant découler de l’établissement d’environnements dans lesquels les personnes en situation de handicap peuvent participer activement et auxquels elles peuvent contribuer, cet objectif souligne le potentiel d’inclusivité dans les efforts visant à promouvoir le développement économique (Nations Unies, s. d.). </w:t>
      </w:r>
    </w:p>
    <w:p w14:paraId="11921344" w14:textId="0EBBB128" w:rsidR="00EB6AE4" w:rsidRPr="00E34E46" w:rsidRDefault="00035768" w:rsidP="00B56537">
      <w:pPr>
        <w:pStyle w:val="Heading3"/>
        <w:rPr>
          <w:sz w:val="18"/>
          <w:szCs w:val="18"/>
        </w:rPr>
      </w:pPr>
      <w:bookmarkStart w:id="62" w:name="_Toc210828505"/>
      <w:r w:rsidRPr="00E34E46">
        <w:rPr>
          <w:rStyle w:val="normaltextrun"/>
        </w:rPr>
        <w:lastRenderedPageBreak/>
        <w:t>Normes internationales en matière d’accessibilité</w:t>
      </w:r>
      <w:bookmarkEnd w:id="62"/>
    </w:p>
    <w:p w14:paraId="3EE0D0F2" w14:textId="3B24A2A0" w:rsidR="00FF4133" w:rsidRPr="00E34E46" w:rsidRDefault="00FF4133" w:rsidP="00B56537">
      <w:pPr>
        <w:rPr>
          <w:rStyle w:val="normaltextrun"/>
          <w:szCs w:val="22"/>
        </w:rPr>
      </w:pPr>
      <w:r w:rsidRPr="00E34E46">
        <w:rPr>
          <w:rStyle w:val="normaltextrun"/>
        </w:rPr>
        <w:t>Les meilleures pratiques en matière d’approvisionnement accessible sont trouvées et mises en œuvre dans les frontières individuelles et l’élaboration des normes au Royaume-Uni, en Australie, en Nouvelle-Zélande, aux États-Unis et dans l’Union européenne. Le World Wide Web Consortium (W3C) est responsable de l’élaboration des normes Web que l’on appelle en français les Règles pour l’accessibilité des contenus Web (WCAG) 2.0, 2.1, 2.2 (W3C, s. d.). Ces règles forment le cadre principal pour un grand nombre de réglementations en matière d’accessibilité mises en œuvre dans le monde</w:t>
      </w:r>
      <w:r w:rsidR="00032DAC" w:rsidRPr="00E34E46">
        <w:rPr>
          <w:rStyle w:val="normaltextrun"/>
        </w:rPr>
        <w:t>.</w:t>
      </w:r>
    </w:p>
    <w:p w14:paraId="51BCA0B7" w14:textId="373D5152" w:rsidR="00FF4133" w:rsidRPr="00E34E46" w:rsidRDefault="00FF4133" w:rsidP="00B56537">
      <w:pPr>
        <w:rPr>
          <w:rStyle w:val="normaltextrun"/>
        </w:rPr>
      </w:pPr>
      <w:r w:rsidRPr="00E34E46">
        <w:rPr>
          <w:rStyle w:val="normaltextrun"/>
        </w:rPr>
        <w:t xml:space="preserve">De plus, l’Organisation internationale de normalisation (ISO) joue un rôle important grâce à ses normes ISO/IEC JTC 1/SWG sur l’accessibilité (SWG-A), qui encourage activement et facilite l’élaboration de normes relatives à l’accessibilité des TIC (ISO/IEC TR 29138-1:2009, Technologies de l’information). Il convient de noter que la norme ISO/IEC 40500:2012 reflète les règles WCAG 2.0 originales, garantissant ainsi l’harmonisation et </w:t>
      </w:r>
      <w:r w:rsidRPr="00E34E46">
        <w:rPr>
          <w:rStyle w:val="normaltextrun"/>
        </w:rPr>
        <w:lastRenderedPageBreak/>
        <w:t>la cohérence entre les normes internationales d’accessibilité (ISO/IEC, 2012).</w:t>
      </w:r>
    </w:p>
    <w:p w14:paraId="4C6E6D4A" w14:textId="6498E778" w:rsidR="00FF4133" w:rsidRPr="00E34E46" w:rsidRDefault="00FF4133" w:rsidP="00B56537">
      <w:pPr>
        <w:rPr>
          <w:rStyle w:val="normaltextrun"/>
        </w:rPr>
      </w:pPr>
      <w:r w:rsidRPr="00E34E46">
        <w:rPr>
          <w:rStyle w:val="normaltextrun"/>
        </w:rPr>
        <w:t>Empiriquement, la norme dominante a émergé du paysage européen. La version 3.2.1 de la norme harmonisée européenne ETSI EN 301 549 a été conçue pour élargir la portée des règles WCAG en intégrant divers formats, y compris les documents. Elle sert de référence minimale pour les États membres de l’Union européenne afin d’élaborer des cadres législatifs et des mesures réglementaires garantissant le respect des normes d’accessibilité. Le processus d’harmonisation lancé par cette norme va au-delà des sites Web de manière à englober les applications mobiles et une vaste gamme de technologies. Mise en œuvre par les États membres de l’UE depuis 2019, cette norme intègre les règles WCAG 2.1 AAA de W3C, tout en mettant l’accent sur la dernière version des contrôles de conformité fonctionnelle (CEN, CENELEC et ETSI, 2021).</w:t>
      </w:r>
    </w:p>
    <w:p w14:paraId="43637D6F" w14:textId="7298A257" w:rsidR="00FF4133" w:rsidRPr="00E34E46" w:rsidRDefault="00FF4133" w:rsidP="00B56537">
      <w:pPr>
        <w:rPr>
          <w:sz w:val="18"/>
          <w:szCs w:val="18"/>
        </w:rPr>
      </w:pPr>
      <w:r w:rsidRPr="00E34E46">
        <w:rPr>
          <w:rStyle w:val="normaltextrun"/>
        </w:rPr>
        <w:t xml:space="preserve">L’Acte législatif européen sur l’accessibilité est une loi qui vise à éliminer les obstacles créés par les règles divergentes dans les États membres et à améliorer l’efficacité du marché intérieur en ce qui a trait aux biens et aux services accessibles (Acte législatif européen sur l’accessibilité, </w:t>
      </w:r>
      <w:r w:rsidRPr="00E34E46">
        <w:rPr>
          <w:rStyle w:val="normaltextrun"/>
        </w:rPr>
        <w:lastRenderedPageBreak/>
        <w:t>2019). Le cadre le plus récent en matière d’accessibilité des TIC est la norme EN 301 549, élaborée dans un processus inclusif avec la participation active des intervenants concernés. Bien que ses exigences en matière d’accessibilité soient principalement destinées aux marchés publics, elles sont souples et s’appliquent à divers scénarios d’approvisionnement, y compris dans le secteur privé (CEN, CENELEC et ETSI, 2021).</w:t>
      </w:r>
    </w:p>
    <w:p w14:paraId="5ACFE516" w14:textId="09D6055E" w:rsidR="00FF4133" w:rsidRPr="00E34E46" w:rsidRDefault="00FF4133" w:rsidP="00B56537">
      <w:pPr>
        <w:rPr>
          <w:sz w:val="18"/>
          <w:szCs w:val="18"/>
        </w:rPr>
      </w:pPr>
      <w:r w:rsidRPr="00E34E46">
        <w:rPr>
          <w:rStyle w:val="normaltextrun"/>
        </w:rPr>
        <w:t xml:space="preserve">Aux États-Unis, conformément à la version révisée (2017) de l’article 508 de la </w:t>
      </w:r>
      <w:proofErr w:type="spellStart"/>
      <w:r w:rsidRPr="00E34E46">
        <w:rPr>
          <w:rStyle w:val="normaltextrun"/>
          <w:i/>
          <w:iCs/>
        </w:rPr>
        <w:t>Rehabilitation</w:t>
      </w:r>
      <w:proofErr w:type="spellEnd"/>
      <w:r w:rsidRPr="00E34E46">
        <w:rPr>
          <w:rStyle w:val="normaltextrun"/>
          <w:i/>
          <w:iCs/>
        </w:rPr>
        <w:t xml:space="preserve"> </w:t>
      </w:r>
      <w:proofErr w:type="spellStart"/>
      <w:r w:rsidRPr="00E34E46">
        <w:rPr>
          <w:rStyle w:val="normaltextrun"/>
          <w:i/>
          <w:iCs/>
        </w:rPr>
        <w:t>Act</w:t>
      </w:r>
      <w:proofErr w:type="spellEnd"/>
      <w:r w:rsidRPr="00E34E46">
        <w:rPr>
          <w:rStyle w:val="normaltextrun"/>
          <w:i/>
          <w:iCs/>
        </w:rPr>
        <w:t>,</w:t>
      </w:r>
      <w:r w:rsidRPr="00E34E46">
        <w:rPr>
          <w:rStyle w:val="normaltextrun"/>
        </w:rPr>
        <w:t xml:space="preserve"> des directives détaillées sont établies pour les organismes du gouvernement fédéral en ce qui concerne le développement, l’acquisition et la maintenance des technologies de l’information et de la communication. Cette loi prévoit des exemptions dans les cas de contraintes excessives, de difficultés ou de circonstances particulières (U.S. Access Board, 2017).</w:t>
      </w:r>
    </w:p>
    <w:p w14:paraId="74946E0E" w14:textId="029ADB26" w:rsidR="00FF4133" w:rsidRPr="00E34E46" w:rsidRDefault="00FF4133" w:rsidP="00B56537">
      <w:pPr>
        <w:rPr>
          <w:rStyle w:val="normaltextrun"/>
        </w:rPr>
      </w:pPr>
      <w:r w:rsidRPr="00E34E46">
        <w:rPr>
          <w:rStyle w:val="normaltextrun"/>
        </w:rPr>
        <w:t xml:space="preserve">Depuis mars 1998, les directives d’accessibilité de l’article 255 de la </w:t>
      </w:r>
      <w:proofErr w:type="spellStart"/>
      <w:r w:rsidRPr="00E34E46">
        <w:rPr>
          <w:rStyle w:val="normaltextrun"/>
          <w:i/>
          <w:iCs/>
        </w:rPr>
        <w:t>Telecommunications</w:t>
      </w:r>
      <w:proofErr w:type="spellEnd"/>
      <w:r w:rsidRPr="00E34E46">
        <w:rPr>
          <w:rStyle w:val="normaltextrun"/>
          <w:i/>
          <w:iCs/>
        </w:rPr>
        <w:t xml:space="preserve"> </w:t>
      </w:r>
      <w:proofErr w:type="spellStart"/>
      <w:r w:rsidRPr="00E34E46">
        <w:rPr>
          <w:rStyle w:val="normaltextrun"/>
          <w:i/>
          <w:iCs/>
        </w:rPr>
        <w:t>Act</w:t>
      </w:r>
      <w:proofErr w:type="spellEnd"/>
      <w:r w:rsidRPr="00E34E46">
        <w:rPr>
          <w:rStyle w:val="normaltextrun"/>
        </w:rPr>
        <w:t xml:space="preserve"> (1996) exigent que les fabricants de matériel de télécommunications fassent en sorte, dans la mesure du possible, que leurs produits soient accessibles et puissent être utilisés par les personnes en </w:t>
      </w:r>
      <w:r w:rsidRPr="00E34E46">
        <w:rPr>
          <w:rStyle w:val="normaltextrun"/>
        </w:rPr>
        <w:lastRenderedPageBreak/>
        <w:t>situation de handicap par leur conception, leur développement et leur fabrication (U.S. Access Board, 1998).</w:t>
      </w:r>
    </w:p>
    <w:p w14:paraId="7D4F12F5" w14:textId="0CD53E82" w:rsidR="00FF4133" w:rsidRPr="00E34E46" w:rsidRDefault="00FF4133" w:rsidP="00B56537">
      <w:pPr>
        <w:rPr>
          <w:sz w:val="18"/>
          <w:szCs w:val="18"/>
        </w:rPr>
      </w:pPr>
      <w:r w:rsidRPr="00E34E46">
        <w:rPr>
          <w:rStyle w:val="normaltextrun"/>
        </w:rPr>
        <w:t>Au Royaume-Uni, les règlements en matière d’accessibilité sont entrés en vigueur pour les organismes publics le 23 septembre 2018. Plus précisément, les règlements sur l’accessibilité des organismes publics [sites Web et applications mobiles] (n</w:t>
      </w:r>
      <w:r w:rsidRPr="00E34E46">
        <w:rPr>
          <w:rStyle w:val="normaltextrun"/>
          <w:vertAlign w:val="superscript"/>
        </w:rPr>
        <w:t>o</w:t>
      </w:r>
      <w:r w:rsidRPr="00E34E46">
        <w:rPr>
          <w:rStyle w:val="normaltextrun"/>
        </w:rPr>
        <w:t> 2) de 2018 exigent une preuve de conformité aux normes WCAG 2.2 et imposent l’inclusion d’une déclaration d’accessibilité (Rhodes, 2022). Ces règlements exigent que les sites Web et les applications mobiles du secteur public soient accessibles et conformes aux critères des WCAG 2.1AA (législation britannique, 2018).</w:t>
      </w:r>
    </w:p>
    <w:p w14:paraId="6CEDD09C" w14:textId="7805AD46" w:rsidR="00EB6AE4" w:rsidRPr="00E34E46" w:rsidRDefault="00FF4133" w:rsidP="00B56537">
      <w:r w:rsidRPr="00E34E46">
        <w:rPr>
          <w:rStyle w:val="normaltextrun"/>
        </w:rPr>
        <w:t xml:space="preserve">En tant qu’exemples des lois et normes essentielles pour l’approvisionnement accessible en Australie, citons les règles d’approvisionnement du Commonwealth, la norme d’accessibilité AS EN 301 549:2020, ainsi que bien d’autres politiques d’accessibilité mises en place dans les États et les territoires. Malgré ces cadres existants, les défenseurs des droits des personnes en situation de handicap ont appelé à une approche plus cohérente et unifiée à l’échelle nationale. La norme australienne des exigences d’accessibilité pour les produits et services des </w:t>
      </w:r>
      <w:r w:rsidRPr="00E34E46">
        <w:rPr>
          <w:rStyle w:val="normaltextrun"/>
        </w:rPr>
        <w:lastRenderedPageBreak/>
        <w:t xml:space="preserve">TIC (AS EN 301 549:2020), qui précise les exigences d’accessibilité pour les produits et services des TIC acquis par le gouvernement, doit s’appliquer selon les règles d’approvisionnement du Commonwealth. De plus, l’adoption de la norme AS EN 301 549:2020 par Standards </w:t>
      </w:r>
      <w:proofErr w:type="spellStart"/>
      <w:r w:rsidRPr="00E34E46">
        <w:rPr>
          <w:rStyle w:val="normaltextrun"/>
        </w:rPr>
        <w:t>Australia</w:t>
      </w:r>
      <w:proofErr w:type="spellEnd"/>
      <w:r w:rsidRPr="00E34E46">
        <w:rPr>
          <w:rStyle w:val="normaltextrun"/>
        </w:rPr>
        <w:t xml:space="preserve"> en 2020 représente un développement important, car elle correspond à sa contrepartie européenne et définit les exigences minimales d’accessibilité pour les produits et services des TIC, y compris le matériel informatique, les logiciels, les sites Web et autres technologies numériques. De plus, la norme intègre des références aux Règles pour l’accessibilité des contenus Web (WCAG) 2.1, garantissant ainsi la conformité avec les critères d’accessibilité reconnus à l’international (Standards </w:t>
      </w:r>
      <w:proofErr w:type="spellStart"/>
      <w:r w:rsidRPr="00E34E46">
        <w:rPr>
          <w:rStyle w:val="normaltextrun"/>
        </w:rPr>
        <w:t>Australia</w:t>
      </w:r>
      <w:proofErr w:type="spellEnd"/>
      <w:r w:rsidRPr="00E34E46">
        <w:rPr>
          <w:rStyle w:val="normaltextrun"/>
        </w:rPr>
        <w:t>, 2016).</w:t>
      </w:r>
    </w:p>
    <w:p w14:paraId="7A68E1CF" w14:textId="659BFC8D" w:rsidR="00EB6AE4" w:rsidRPr="00E34E46" w:rsidRDefault="00B80196" w:rsidP="00B56537">
      <w:pPr>
        <w:pStyle w:val="Heading3"/>
      </w:pPr>
      <w:bookmarkStart w:id="63" w:name="_Toc168754479"/>
      <w:bookmarkStart w:id="64" w:name="_Toc210828506"/>
      <w:r w:rsidRPr="00E34E46">
        <w:rPr>
          <w:rStyle w:val="normaltextrun"/>
        </w:rPr>
        <w:t>Normes canadiennes (fédérales et provinciales) en matière d’accessibilité</w:t>
      </w:r>
      <w:bookmarkEnd w:id="63"/>
      <w:bookmarkEnd w:id="64"/>
    </w:p>
    <w:p w14:paraId="4B6D8C2D" w14:textId="06D68B1B" w:rsidR="00E948DB" w:rsidRPr="00E34E46" w:rsidRDefault="00E948DB" w:rsidP="00B56537">
      <w:pPr>
        <w:rPr>
          <w:rStyle w:val="normaltextrun"/>
          <w:szCs w:val="22"/>
        </w:rPr>
      </w:pPr>
      <w:r w:rsidRPr="00E34E46">
        <w:rPr>
          <w:rStyle w:val="normaltextrun"/>
        </w:rPr>
        <w:t xml:space="preserve">Le gouvernement du Canada a établi des lois, des politiques et des directives, comme la </w:t>
      </w:r>
      <w:r w:rsidRPr="00E34E46">
        <w:rPr>
          <w:rStyle w:val="normaltextrun"/>
          <w:i/>
          <w:iCs/>
        </w:rPr>
        <w:t>Loi canadienne sur l’accessibilité</w:t>
      </w:r>
      <w:r w:rsidRPr="00E34E46">
        <w:rPr>
          <w:rStyle w:val="normaltextrun"/>
        </w:rPr>
        <w:t xml:space="preserve"> et la Politique sur les marchés du Conseil du Trésor, qui exigent que l’accessibilité soit prise en compte dans les marchés publics du gouvernement fédéral. La </w:t>
      </w:r>
      <w:r w:rsidRPr="00E34E46">
        <w:rPr>
          <w:rStyle w:val="normaltextrun"/>
          <w:i/>
          <w:iCs/>
        </w:rPr>
        <w:t xml:space="preserve">Loi </w:t>
      </w:r>
      <w:r w:rsidRPr="00E34E46">
        <w:rPr>
          <w:rStyle w:val="normaltextrun"/>
          <w:i/>
          <w:iCs/>
        </w:rPr>
        <w:lastRenderedPageBreak/>
        <w:t>canadienne sur l’accessibilité</w:t>
      </w:r>
      <w:r w:rsidRPr="00E34E46">
        <w:rPr>
          <w:rStyle w:val="normaltextrun"/>
        </w:rPr>
        <w:t xml:space="preserve"> a reçu la sanction royale le 21 juin 2019 et est entrée en vigueur le 11 juillet de la même année. Elle vise à instaurer un Canada sans obstacles, en déterminant, en éliminant et en prévenant de manière proactive les obstacles qui freinent l’accessibilité dans sept domaines prioritaires, y compris l’approvisionnement fédéral en biens et en services (gouvernement du Canada, 2019)</w:t>
      </w:r>
      <w:r w:rsidR="00032DAC" w:rsidRPr="00E34E46">
        <w:rPr>
          <w:rStyle w:val="normaltextrun"/>
        </w:rPr>
        <w:t>.</w:t>
      </w:r>
    </w:p>
    <w:p w14:paraId="44A789C4" w14:textId="2715761C" w:rsidR="00E948DB" w:rsidRPr="00E34E46" w:rsidRDefault="00E948DB" w:rsidP="00B56537">
      <w:pPr>
        <w:rPr>
          <w:rStyle w:val="normaltextrun"/>
        </w:rPr>
      </w:pPr>
      <w:r w:rsidRPr="00E34E46">
        <w:rPr>
          <w:rStyle w:val="normaltextrun"/>
        </w:rPr>
        <w:t xml:space="preserve">Le Secrétariat du Conseil du Trésor a approuvé et modifié la Politique des marchés du Conseil du Trésor (désignée comme la « Politique » dans cette section) le 10 octobre 2020, obligeant ainsi les marchés publics à prendre en compte l’accessibilité. L’avis relatif aux politiques exige également que les livrables des organismes comportent des caractéristiques accessibles et des critères d’accessibilité lors de la définition des exigences pour les biens et services. L’accessibilité doit désormais faire partie du processus d’approvisionnement du gouvernement du Canada. L’article 4.2.26 souligne la nécessité d’introduire des caractéristiques d’accessibilité dans les livrables, exigeant ainsi aux ministères qu’ils intègrent les exigences en matière d’accessibilité dans les spécifications des biens et des services. Cette indication souligne l’engagement envers l’inclusivité et garantit que les </w:t>
      </w:r>
      <w:r w:rsidRPr="00E34E46">
        <w:rPr>
          <w:rStyle w:val="normaltextrun"/>
        </w:rPr>
        <w:lastRenderedPageBreak/>
        <w:t>produits et les services seront accessibles à tous, conformément aux objectifs sociétaux élargis d’équité et d’accessibilité (SPAC, 2020).</w:t>
      </w:r>
    </w:p>
    <w:p w14:paraId="6A5D01DC" w14:textId="0A9C3E7A" w:rsidR="00E948DB" w:rsidRPr="00E34E46" w:rsidRDefault="00E948DB" w:rsidP="00B56537">
      <w:pPr>
        <w:rPr>
          <w:rStyle w:val="normaltextrun"/>
        </w:rPr>
      </w:pPr>
      <w:r w:rsidRPr="00E34E46">
        <w:rPr>
          <w:rStyle w:val="normaltextrun"/>
        </w:rPr>
        <w:t>L’article 4.2.27 traite quant à lui des complexités du respect des exigences en matière d’accessibilité dans le cadre des accords commerciaux et des accords sur les revendications territoriales (SPAC, 2020). Il insiste sur la nécessité de documenter ouvertement les explications pour toute situation où il est impraticable d’intégrer des exigences en matière d’accessibilité dans les spécifications des produits ou des services, ou lorsqu’il n’existe aucun produit ou service accessible. Ainsi est mis de l’avant le besoin de disposer d’une approche nuancée des méthodes d’approvisionnement vu l’équilibre entre les objectifs d’accessibilité et les limites réglementaires (gouvernement du Canada, 2020).</w:t>
      </w:r>
    </w:p>
    <w:p w14:paraId="0D1D5713" w14:textId="6E9FFC3A" w:rsidR="00E948DB" w:rsidRPr="00E34E46" w:rsidRDefault="00E948DB" w:rsidP="00202731">
      <w:pPr>
        <w:rPr>
          <w:rStyle w:val="normaltextrun"/>
        </w:rPr>
      </w:pPr>
      <w:r w:rsidRPr="00E34E46">
        <w:rPr>
          <w:rStyle w:val="normaltextrun"/>
        </w:rPr>
        <w:t xml:space="preserve"> Pendant le processus de recherche, l’Ontario, la Colombie-Britannique et le Manitoba se sont révélés être les provinces dominantes dans le domaine de l’approvisionnement accessible, à des degrés divers, en intégrant l’approvisionnement dans leurs dispositions législatives sur l’accessibilité. Pour promouvoir la diversité, la province de l’Ontario demande que l’accessibilité soit prise en compte dans l’approvisionnement en produits </w:t>
      </w:r>
      <w:r w:rsidRPr="00E34E46">
        <w:rPr>
          <w:rStyle w:val="normaltextrun"/>
        </w:rPr>
        <w:lastRenderedPageBreak/>
        <w:t xml:space="preserve">ou en services. La </w:t>
      </w:r>
      <w:hyperlink r:id="rId12" w:tgtFrame="_blank" w:history="1">
        <w:r w:rsidRPr="00E34E46">
          <w:rPr>
            <w:rStyle w:val="normaltextrun"/>
            <w:i/>
            <w:iCs/>
          </w:rPr>
          <w:t>Loi sur l’accessibilité pour les personnes handicapées de l’Ontario</w:t>
        </w:r>
      </w:hyperlink>
      <w:r w:rsidRPr="00E34E46">
        <w:rPr>
          <w:rStyle w:val="normaltextrun"/>
        </w:rPr>
        <w:t xml:space="preserve"> (LAPHO) est une loi qu’a créée le gouvernement de l’Ontario afin d’établir des procédures à suivre pour l’élaboration et la mise en œuvre des normes d’accessibilité, celles-ci visant à déterminer, à éliminer et à prévenir les obstacles auxquels se heurtent les personnes en situation de handicap. Le gouvernement provincial a collaboré avec des personnes en situation de handicap et des personnes du milieu des affaires pour formuler des directives accessibles concernant l’approvisionnement en biens, en services et en installations. Toutes les entités du secteur public de l’Ontario doivent se conformer à ces directives (gouvernement de l’Ontario, 2015). Les lignes directrices s’appliquent au gouvernement de l’Ontario, à l’Assemblée législative et aux organismes du secteur public désignés qui promeuvent l’accessibilité dans les pratiques d’approvisionnement, tel qu’il est stipulé à l’article 5 des règlements pertinents. </w:t>
      </w:r>
    </w:p>
    <w:p w14:paraId="39A23AEF" w14:textId="1BC17D17" w:rsidR="00E948DB" w:rsidRPr="00E34E46" w:rsidRDefault="00E948DB" w:rsidP="00B56537">
      <w:pPr>
        <w:rPr>
          <w:rStyle w:val="normaltextrun"/>
        </w:rPr>
      </w:pPr>
      <w:r w:rsidRPr="00E34E46">
        <w:rPr>
          <w:rStyle w:val="normaltextrun"/>
        </w:rPr>
        <w:t xml:space="preserve">Le paragraphe 5(1) exige que ces organisations intègrent la conception, les normes et les caractéristiques d’accessibilité dans l’approvisionnement ou l’acquisition de produits, de services ou d’installations, tout en soulignant l’importance de l’intégration, dans la </w:t>
      </w:r>
      <w:r w:rsidRPr="00E34E46">
        <w:rPr>
          <w:rStyle w:val="normaltextrun"/>
        </w:rPr>
        <w:lastRenderedPageBreak/>
        <w:t xml:space="preserve">mesure du possible. La conception accessible n’est pas requise s’il est jugé qu’elle est irréalisable. C’est d’ailleurs la seule circonstance acceptée. Les conditions de ces circonstances sont décrites au paragraphe 5(2) au moyen d’un cadre de responsabilisation qui exige qu’une organisation, sur demande, explique pourquoi l’intégration des éléments d’accessibilité dans l’approvisionnement n’était pas réalisable. Cette situation met l’accent sur la transparence du cadre juridique, ce qui garantit que les décisions concernant l’accessibilité dans l’approvisionnement sont bien réfléchies et sont conformes aux directives établies, c’est-à-dire au paragraphe 5(2) du </w:t>
      </w:r>
      <w:proofErr w:type="spellStart"/>
      <w:r w:rsidRPr="00E34E46">
        <w:rPr>
          <w:rStyle w:val="normaltextrun"/>
        </w:rPr>
        <w:t>Règl</w:t>
      </w:r>
      <w:proofErr w:type="spellEnd"/>
      <w:r w:rsidRPr="00E34E46">
        <w:rPr>
          <w:rStyle w:val="normaltextrun"/>
        </w:rPr>
        <w:t xml:space="preserve">. </w:t>
      </w:r>
      <w:proofErr w:type="gramStart"/>
      <w:r w:rsidRPr="00E34E46">
        <w:rPr>
          <w:rStyle w:val="normaltextrun"/>
        </w:rPr>
        <w:t>de</w:t>
      </w:r>
      <w:proofErr w:type="gramEnd"/>
      <w:r w:rsidRPr="00E34E46">
        <w:rPr>
          <w:rStyle w:val="normaltextrun"/>
        </w:rPr>
        <w:t xml:space="preserve"> l’Ont. 191/11 (gouvernement de l’Ontario, 2005).</w:t>
      </w:r>
    </w:p>
    <w:p w14:paraId="1FBBC429" w14:textId="6207E964" w:rsidR="00E948DB" w:rsidRPr="00E34E46" w:rsidRDefault="00E948DB" w:rsidP="00B56537">
      <w:pPr>
        <w:rPr>
          <w:rStyle w:val="normaltextrun"/>
        </w:rPr>
      </w:pPr>
      <w:r w:rsidRPr="00E34E46">
        <w:rPr>
          <w:rStyle w:val="normaltextrun"/>
        </w:rPr>
        <w:t>L’</w:t>
      </w:r>
      <w:r w:rsidRPr="00E34E46">
        <w:rPr>
          <w:rStyle w:val="normaltextrun"/>
          <w:i/>
          <w:iCs/>
        </w:rPr>
        <w:t xml:space="preserve">Accessible British Columbia </w:t>
      </w:r>
      <w:proofErr w:type="spellStart"/>
      <w:r w:rsidRPr="00E34E46">
        <w:rPr>
          <w:rStyle w:val="normaltextrun"/>
          <w:i/>
          <w:iCs/>
        </w:rPr>
        <w:t>Act</w:t>
      </w:r>
      <w:proofErr w:type="spellEnd"/>
      <w:r w:rsidRPr="00E34E46">
        <w:rPr>
          <w:rStyle w:val="normaltextrun"/>
          <w:i/>
          <w:iCs/>
        </w:rPr>
        <w:t>,</w:t>
      </w:r>
      <w:r w:rsidRPr="00E34E46">
        <w:rPr>
          <w:rStyle w:val="normaltextrun"/>
        </w:rPr>
        <w:t xml:space="preserve"> adoptée en 2021, représente une avancée législative majeure et vise à améliorer les normes d’accessibilité dans divers domaines en Colombie-Britannique. Ce cadre législatif aborde explicitement l’approvisionnement à l’article 13 de la Loi. Cet article confère au lieutenant-gouverneur en conseil le pouvoir d’imposer des règlements sur le repérage, l’élimination ou la prévention d’obstacles à l’accessibilité. Ce mandat couvre divers domaines, notamment l’emploi, la prestation de services, l’environnement bâti, l’information et les communications, le </w:t>
      </w:r>
      <w:r w:rsidRPr="00E34E46">
        <w:rPr>
          <w:rStyle w:val="normaltextrun"/>
        </w:rPr>
        <w:lastRenderedPageBreak/>
        <w:t>transport, la santé, l’éducation et, en particulier, l’approvisionnement. L’</w:t>
      </w:r>
      <w:r w:rsidRPr="00E34E46">
        <w:rPr>
          <w:rStyle w:val="normaltextrun"/>
          <w:i/>
          <w:iCs/>
        </w:rPr>
        <w:t xml:space="preserve">Accessible British Columbia </w:t>
      </w:r>
      <w:proofErr w:type="spellStart"/>
      <w:r w:rsidRPr="00E34E46">
        <w:rPr>
          <w:rStyle w:val="normaltextrun"/>
          <w:i/>
          <w:iCs/>
        </w:rPr>
        <w:t>Act</w:t>
      </w:r>
      <w:proofErr w:type="spellEnd"/>
      <w:r w:rsidRPr="00E34E46">
        <w:rPr>
          <w:rStyle w:val="normaltextrun"/>
        </w:rPr>
        <w:t xml:space="preserve"> reconnaît le rôle essentiel des pratiques d’approvisionnement dans l’amélioration de l’accessibilité, en ajoutant l’approvisionnement dans la portée des règlements. En favorisant des procédures d’approvisionnement inclusif et accessible, cette disposition législative contribue à des initiatives plus considérables visant à éliminer les obstacles et à garantir que les habitants de la Colombie-Britannique ont un accès équitable aux possibilités et aux ressources (gouvernement de la Colombie-Britannique, 2021).</w:t>
      </w:r>
    </w:p>
    <w:p w14:paraId="01610A80" w14:textId="77777777" w:rsidR="00E948DB" w:rsidRPr="00E34E46" w:rsidRDefault="00E948DB" w:rsidP="00B56537">
      <w:pPr>
        <w:rPr>
          <w:rStyle w:val="normaltextrun"/>
        </w:rPr>
      </w:pPr>
      <w:r w:rsidRPr="00E34E46">
        <w:rPr>
          <w:rStyle w:val="normaltextrun"/>
        </w:rPr>
        <w:t>Le gouvernement du Manitoba a mis en œuvre la Loi sur l’accessibilité pour les Manitobains, qui exige que le gouvernement provincial et d’autres organismes du secteur public élaborent des plans d’accessibilité, y compris pour l’approvisionnement. Les efforts qu’a déployés la province pour mettre en œuvre la Loi sur l’accessibilité sont décrits dans le Plan d’accessibilité du gouvernement du Manitoba, qui prévoit l’intégration des facteurs d’accessibilité dans les procédures d’approvisionnement (gouvernement du Manitoba, 2013).</w:t>
      </w:r>
    </w:p>
    <w:p w14:paraId="39DF9BC2" w14:textId="694280CE" w:rsidR="00213D1A" w:rsidRPr="00E34E46" w:rsidRDefault="00895D54" w:rsidP="00895D54">
      <w:pPr>
        <w:rPr>
          <w:rStyle w:val="normaltextrun"/>
        </w:rPr>
      </w:pPr>
      <w:r w:rsidRPr="00E34E46">
        <w:rPr>
          <w:rStyle w:val="normaltextrun"/>
        </w:rPr>
        <w:lastRenderedPageBreak/>
        <w:t>À l’échelle municipale, des politiques d’approvisionnement social et durable sont en cours d’élaboration. Toutefois, un nombre prometteur de municipalités canadiennes élaborent des plans et des stratégies en matière d’accessibilité, seule une minorité mentionnant l’approvisionnement accessible. Lorsque l’approvisionnement accessible est mentionné à propos de lois sur l’accessibilité, il s’agit de renvois directs à une clause de la loi provinciale ou propre à la prestation de services. Pour les petites municipalités, les politiques et les directives sont renvoyées aux lois provinciales sur l’approvisionnement et aux exigences en matière d’accessibilité. Certaines municipalités sont toutefois liées au Programme d’approvisionnement interprovincial au fédéral – Collaboration canadienne pour l’accès aux fournisseurs fédéraux (établissements d’enseignement, écoles et hôpitaux).  Parmi les domaines les plus susceptibles d’aborder l’approvisionnement accessible figurent les bibliothèques municipales, les loisirs, la planification d’événements et les infrastructures bâties, comme les terrains de jeux pour enfants.</w:t>
      </w:r>
    </w:p>
    <w:p w14:paraId="48F0D654" w14:textId="5687FC1C" w:rsidR="00895D54" w:rsidRPr="00E34E46" w:rsidRDefault="00895D54" w:rsidP="00895D54">
      <w:pPr>
        <w:rPr>
          <w:rStyle w:val="normaltextrun"/>
        </w:rPr>
      </w:pPr>
      <w:r w:rsidRPr="00E34E46">
        <w:rPr>
          <w:rStyle w:val="normaltextrun"/>
        </w:rPr>
        <w:t xml:space="preserve">Enfin, l’approvisionnement accessible est négligé dans la plupart des stratégies d’approvisionnement inclusif et social et il se distingue en raison </w:t>
      </w:r>
      <w:r w:rsidRPr="00E34E46">
        <w:rPr>
          <w:rStyle w:val="normaltextrun"/>
        </w:rPr>
        <w:lastRenderedPageBreak/>
        <w:t>des caractéristiques techniques au niveau du processus et au niveau des résultats. Le domaine de l’approvisionnement accessible est également dominé par l’approvisionnement en TIC dans une optique de gestion du handicap. On constate une pénurie de normes et de lois cohérentes concernant l’approvisionnement accessible au Canada et ailleurs, malgré certaines initiatives clés.</w:t>
      </w:r>
    </w:p>
    <w:p w14:paraId="51283207" w14:textId="51DEE264" w:rsidR="002A5E76" w:rsidRPr="00E34E46" w:rsidRDefault="00213D1A" w:rsidP="00032DAC">
      <w:pPr>
        <w:rPr>
          <w:rFonts w:cstheme="majorBidi"/>
          <w:color w:val="0F4761" w:themeColor="accent1" w:themeShade="BF"/>
          <w:sz w:val="32"/>
          <w:szCs w:val="32"/>
        </w:rPr>
      </w:pPr>
      <w:r w:rsidRPr="00E34E46">
        <w:rPr>
          <w:rStyle w:val="normaltextrun"/>
        </w:rPr>
        <w:t xml:space="preserve">Des lacunes importantes subsistent dans la littérature universitaire sur l’approvisionnement public et au sein des ressources professionnelles. Les conclusions de l’analyse environnementale soulignent l’importance cruciale d’intégrer les facteurs d’accessibilité dans les processus d’approvisionnement pour respecter les droits des personnes en situation de handicap, conformément aux cadres et aux engagements internationaux et nationaux en matière de droits de la personne. Certains endroits, comme le Royaume-Uni, l’Australie, la Nouvelle-Zélande, les États-Unis et l’Union européenne, ont élaboré des cadres et des normes solides pour l’approvisionnement accessible dans leur secteur public. Ces cadres et ces normes témoignent d’un effort concerté visant à créer des environnements inclusifs qui facilitent la participation active et la contribution des personnes en situation de </w:t>
      </w:r>
      <w:r w:rsidRPr="00E34E46">
        <w:rPr>
          <w:rStyle w:val="normaltextrun"/>
        </w:rPr>
        <w:lastRenderedPageBreak/>
        <w:t>handicap. En intégrant l’accessibilité dans les processus d’approvisionnement, ces mesures respectent les obligations juridiques et favorisent des objectifs sociétaux élargis en matière d’équité et d’inclusion. Pour contribuer à l’établissement d’une base solide, le chapitre suivant présente des recommandations thématiques pour favoriser et démystifier l’approvisionnement accessible au Canada.</w:t>
      </w:r>
      <w:r w:rsidR="002A5E76" w:rsidRPr="00E34E46">
        <w:br w:type="page"/>
      </w:r>
    </w:p>
    <w:p w14:paraId="6C3FECB9" w14:textId="13BE06DE" w:rsidR="00151C6D" w:rsidRPr="00E34E46" w:rsidRDefault="008F4B0A" w:rsidP="00B56537">
      <w:pPr>
        <w:pStyle w:val="Heading2"/>
      </w:pPr>
      <w:bookmarkStart w:id="65" w:name="_Toc224836478"/>
      <w:bookmarkStart w:id="66" w:name="_Toc224836706"/>
      <w:r w:rsidRPr="00E34E46">
        <w:lastRenderedPageBreak/>
        <w:t>Chapitre 4 : Recommandations relatives à l’approvisionnement accessible</w:t>
      </w:r>
      <w:bookmarkEnd w:id="49"/>
      <w:bookmarkEnd w:id="65"/>
      <w:bookmarkEnd w:id="66"/>
      <w:r w:rsidRPr="00E34E46">
        <w:t xml:space="preserve"> </w:t>
      </w:r>
    </w:p>
    <w:p w14:paraId="308408F3" w14:textId="198D03FE" w:rsidR="001A5588" w:rsidRPr="00E34E46" w:rsidRDefault="006202DB" w:rsidP="00B56537">
      <w:r w:rsidRPr="00E34E46">
        <w:t>Cette section présente des recommandations relatives à l’approvisionnement accessible et aux modèles de chaîne d’approvisionnement. Elles sont rédigées de manière thématique en raison de la nature du contexte et l’interdépendance des thèmes qui se renforcent mutuellement. Ces recommandations sont également rédigées pour soutenir directement les professionnels à la recherche de conseils immédiats et concrets pouvant être personnalisés en fonction du contexte de leur organisation ou de leur entité.</w:t>
      </w:r>
    </w:p>
    <w:p w14:paraId="6BE12A8A" w14:textId="77777777" w:rsidR="00E8047F" w:rsidRPr="00E34E46" w:rsidRDefault="0022755D" w:rsidP="00B56537">
      <w:r w:rsidRPr="00E34E46">
        <w:t xml:space="preserve">Les deux premiers thèmes (A et B) permettent de jeter les bases nécessaires pour faire progresser l’engagement d’une organisation à l’égard de l’accessibilité, pour que le besoin et le changement de culture créent la propriété et la valeur ajoutée de l’approvisionnement accessible au sein de l’organisation. En effet, sans ces deux thèmes, la mise en œuvre de l’approvisionnement accessible ne serait pas possible, d’où leur inclusion. Les deux thèmes suivants (C et D) sont axés sur l’organisation, en octroyant des </w:t>
      </w:r>
      <w:r w:rsidRPr="00E34E46">
        <w:lastRenderedPageBreak/>
        <w:t xml:space="preserve">ressources et en prenant des mesures pour l’approvisionnement accessible, allant du renforcement des capacités à la définition des résultats, en passant par l’intégration de l’approvisionnement accessible dans les politiques, les pratiques et les procédures. À ce stade, les organisations connaissent leurs forces et leurs faiblesses dans l’intégration de l’approvisionnement accessible et peuvent adapter leurs stratégies aux besoins et à la culture de leur organisation. Les organisations découvriront comment rendre leurs processus d’approvisionnement plus accessibles, soit par des documents accessibles, la définition de critères d’accessibilité, des matrices de notation, des appels d’offres ou des communications. Le thème E aborde la chaîne d’approvisionnement et les besoins d’accessibilité dont tiennent compte les fournisseurs actuels et potentiels. Bien qu’ils soient dirigés par l’organisation, ces processus sont axés sur l’engagement externe, la compréhension du paysage du handicap et l’établissement de relations avec les communautés. Nous avons constaté que le modèle de chaîne d’approvisionnement inclusif n’a pas suffisamment pris en compte les besoins des personnes en situation de handicap et des entreprises que ces personnes dirigent. Les initiatives peuvent varier, allant de la création de listes de fournisseurs tiers à la mise en place éventuelle de programmes de </w:t>
      </w:r>
      <w:r w:rsidRPr="00E34E46">
        <w:lastRenderedPageBreak/>
        <w:t xml:space="preserve">marchés réservés, en passant par le besoin d’offrir des possibilités de réseautage. </w:t>
      </w:r>
    </w:p>
    <w:p w14:paraId="3C033F05" w14:textId="17713A1E" w:rsidR="00594F41" w:rsidRPr="00E34E46" w:rsidRDefault="0022755D" w:rsidP="00B56537">
      <w:r w:rsidRPr="00E34E46">
        <w:t xml:space="preserve">Le thème F a émergé directement des consultations avec les membres de la communauté. Élaborer un cadre et un processus de responsabilisation permet des rapports internes ainsi que des mesures externes pour démontrer les engagements en matière d’accessibilité. Il peut y avoir, dans un cadre de responsabilisation, un processus clair de résolution des conflits ainsi qu’un mécanisme permettant de suivre les préoccupations et les plaintes en matière d’accessibilité, d’appuyer une approche d’apprentissage continu et un processus de mise en œuvre tout au long du cycle d’approvisionnement. Les éléments clés comprennent l’établissement de relations avec les fournisseurs et la communauté, le suivi des progrès et l’assurance qualité ainsi que la mise en place d’un processus transparent de résolution de conflits. Il y a un manque criant de recherche dans ce domaine. </w:t>
      </w:r>
    </w:p>
    <w:p w14:paraId="375E4203" w14:textId="40F39E36" w:rsidR="0022755D" w:rsidRPr="00E34E46" w:rsidRDefault="0022755D" w:rsidP="00B56537">
      <w:r w:rsidRPr="00E34E46">
        <w:t xml:space="preserve">Le dernier thème des recommandations porte sur le rôle des gouvernements pour aborder les conceptualisations de l’équité dans les accords commerciaux, ainsi que les plus grandes forces mondiales, qui </w:t>
      </w:r>
      <w:r w:rsidRPr="00E34E46">
        <w:lastRenderedPageBreak/>
        <w:t xml:space="preserve">négligent souvent les besoins des personnes en situation de handicap. Vu la spécificité de l’approvisionnement au sein des organisations, nous avons regroupé ces thèmes afin que les entreprises et autres entités puissent adapter les recommandations qui conviennent le mieux à leur contexte. </w:t>
      </w:r>
    </w:p>
    <w:p w14:paraId="797C2564" w14:textId="59BEB32C" w:rsidR="00151C6D" w:rsidRPr="00E34E46" w:rsidRDefault="00151C6D" w:rsidP="00B56537">
      <w:pPr>
        <w:pStyle w:val="Heading3"/>
      </w:pPr>
      <w:bookmarkStart w:id="67" w:name="_Toc168722512"/>
      <w:bookmarkStart w:id="68" w:name="_Toc210828508"/>
      <w:r w:rsidRPr="00E34E46">
        <w:t xml:space="preserve">Thème A : </w:t>
      </w:r>
      <w:bookmarkStart w:id="69" w:name="_Hlk167183484"/>
      <w:r w:rsidRPr="00E34E46">
        <w:t>Évaluer le degré global de sensibilisation, le niveau de connaissances et l’engagement de l’organisation ou de l’unité à l’égard de l’accessibilité</w:t>
      </w:r>
      <w:bookmarkEnd w:id="67"/>
      <w:bookmarkEnd w:id="68"/>
      <w:bookmarkEnd w:id="69"/>
    </w:p>
    <w:p w14:paraId="3059821A" w14:textId="31C5913D" w:rsidR="0009295A" w:rsidRPr="00E34E46" w:rsidRDefault="00A11460" w:rsidP="00B56537">
      <w:r w:rsidRPr="00E34E46">
        <w:t>L’approvisionnement accessible représente un niveau plus élevé de maturité en matière d’accessibilité pour une organisation ou une entité. L’organisation devrait dépasser les phases initiales de maturité en matière d’accessibilité, améliorant ainsi de façon évidente la compréhension interne de l’accessibilité, tout en renforçant ses capacités</w:t>
      </w:r>
      <w:r w:rsidR="007350AC" w:rsidRPr="00E34E46">
        <w:t>.</w:t>
      </w:r>
    </w:p>
    <w:p w14:paraId="2AB36B5C" w14:textId="4E306394" w:rsidR="00151C6D" w:rsidRPr="00E34E46" w:rsidRDefault="00151C6D" w:rsidP="00B56537">
      <w:pPr>
        <w:pStyle w:val="Heading4"/>
      </w:pPr>
      <w:bookmarkStart w:id="70" w:name="_Toc168722513"/>
      <w:bookmarkStart w:id="71" w:name="_Toc210828509"/>
      <w:r w:rsidRPr="00E34E46">
        <w:lastRenderedPageBreak/>
        <w:t>A1. Évaluer le parcours de l’organisation en matière d’accessibilité ainsi que la compréhension interne de l’accessibilité</w:t>
      </w:r>
      <w:bookmarkEnd w:id="70"/>
      <w:bookmarkEnd w:id="71"/>
    </w:p>
    <w:p w14:paraId="402A6FFB" w14:textId="0D787547" w:rsidR="00151C6D" w:rsidRPr="00E34E46" w:rsidRDefault="00151C6D" w:rsidP="00B56537">
      <w:r w:rsidRPr="00E34E46">
        <w:t xml:space="preserve">Les organisations devraient évaluer leur niveau d’accessibilité en relevant leurs forces, leurs faiblesses, leurs conceptualisations de l’accessibilité et leurs engagements organisationnels. Pour garantir un examen complet de l’accessibilité, les organisations et les divers services devraient prendre en compte les points suivants : </w:t>
      </w:r>
    </w:p>
    <w:p w14:paraId="3716B591" w14:textId="77777777" w:rsidR="00151C6D" w:rsidRPr="00E34E46" w:rsidRDefault="00151C6D" w:rsidP="00B56537">
      <w:r w:rsidRPr="00E34E46">
        <w:t>Il faut trouver les mesures législatives qui traitent d’accessibilité et qui sont en vigueur dans la province ou le territoire de l’organisation et aux endroits où l’organisation exerce ses activités. Il faut compter sur la loi et les normes d’accessibilité comme seuil minimal ou point de départ, et non comme objectif final. </w:t>
      </w:r>
    </w:p>
    <w:p w14:paraId="7D405D27" w14:textId="5409BAC2" w:rsidR="00151C6D" w:rsidRPr="00E34E46" w:rsidRDefault="00151C6D" w:rsidP="00B56537">
      <w:r w:rsidRPr="00E34E46">
        <w:t>Il faut évaluer les stratégies et les processus actuels de l’organisation pour déterminer si l’accessibilité est intégrée dans ses objectifs stratégiques, ses valeurs et ses initiatives</w:t>
      </w:r>
      <w:r w:rsidR="007350AC" w:rsidRPr="00E34E46">
        <w:t>.</w:t>
      </w:r>
      <w:r w:rsidRPr="00E34E46">
        <w:t xml:space="preserve"> Si ce n’est pas le cas, il faut établir quels </w:t>
      </w:r>
      <w:r w:rsidRPr="00E34E46">
        <w:lastRenderedPageBreak/>
        <w:t>domaines permettraient un éventuel alignement et déterminer les infrastructures ou les ressources nécessaires.</w:t>
      </w:r>
    </w:p>
    <w:p w14:paraId="2942AD6F" w14:textId="7077DF48" w:rsidR="00151C6D" w:rsidRPr="00E34E46" w:rsidRDefault="00151C6D" w:rsidP="00032DAC">
      <w:pPr>
        <w:pStyle w:val="ListParagraph"/>
        <w:numPr>
          <w:ilvl w:val="0"/>
          <w:numId w:val="7"/>
        </w:numPr>
        <w:ind w:hanging="720"/>
      </w:pPr>
      <w:r w:rsidRPr="00E34E46">
        <w:t xml:space="preserve">Revoir et comprendre le nombre de personnes en situation de handicap qui travaillent dans l’organisation et le service, en se concentrant sur les pratiques d’embauche, le maintien en poste, la promotion, les disparités salariales et les fonctions; </w:t>
      </w:r>
    </w:p>
    <w:p w14:paraId="7E04565C" w14:textId="77777777" w:rsidR="00151C6D" w:rsidRPr="00E34E46" w:rsidRDefault="00151C6D" w:rsidP="00032DAC">
      <w:pPr>
        <w:pStyle w:val="ListParagraph"/>
        <w:numPr>
          <w:ilvl w:val="0"/>
          <w:numId w:val="7"/>
        </w:numPr>
        <w:ind w:hanging="720"/>
      </w:pPr>
      <w:r w:rsidRPr="00E34E46">
        <w:t>Préciser si des ressources sont allouées aux initiatives d’accessibilité ou d’inclusion des personnes en situation de handicap. Si les organisations ont déjà un plan d’accessibilité en interne, situer la responsabilité liée à l’accessibilité dans la structure organisationnelle ou l’unité, y compris le pouvoir décisionnel; </w:t>
      </w:r>
    </w:p>
    <w:p w14:paraId="0771FBDD" w14:textId="562CD4D6" w:rsidR="00151C6D" w:rsidRPr="00E34E46" w:rsidRDefault="00151C6D" w:rsidP="00032DAC">
      <w:pPr>
        <w:pStyle w:val="ListParagraph"/>
        <w:numPr>
          <w:ilvl w:val="0"/>
          <w:numId w:val="7"/>
        </w:numPr>
        <w:ind w:hanging="720"/>
      </w:pPr>
      <w:r w:rsidRPr="00E34E46">
        <w:t xml:space="preserve">Revoir les politiques, les directives et les normes d’accessibilité qui existent dans l’organisation pour s’assurer qu’elles sont conformes aux normes ou aux règlements nationaux et internationaux; </w:t>
      </w:r>
    </w:p>
    <w:p w14:paraId="3AD80B40" w14:textId="77777777" w:rsidR="00151C6D" w:rsidRPr="00E34E46" w:rsidRDefault="00151C6D" w:rsidP="00032DAC">
      <w:pPr>
        <w:pStyle w:val="ListParagraph"/>
        <w:numPr>
          <w:ilvl w:val="0"/>
          <w:numId w:val="7"/>
        </w:numPr>
        <w:ind w:hanging="720"/>
      </w:pPr>
      <w:r w:rsidRPr="00E34E46">
        <w:t>Collaborer avec les leaders du secteur en matière d’accessibilité et les professionnels travaillant dans le secteur donné; </w:t>
      </w:r>
    </w:p>
    <w:p w14:paraId="0D347869" w14:textId="39F2C359" w:rsidR="00151C6D" w:rsidRPr="00E34E46" w:rsidRDefault="00151C6D" w:rsidP="00032DAC">
      <w:pPr>
        <w:pStyle w:val="ListParagraph"/>
        <w:numPr>
          <w:ilvl w:val="0"/>
          <w:numId w:val="7"/>
        </w:numPr>
        <w:ind w:hanging="720"/>
      </w:pPr>
      <w:r w:rsidRPr="00E34E46">
        <w:t xml:space="preserve">Collaborer avec les groupes de ressources pour les employés ou les groupes de travail de l’organisation comprenant des personnes en </w:t>
      </w:r>
      <w:r w:rsidRPr="00E34E46">
        <w:lastRenderedPageBreak/>
        <w:t xml:space="preserve">situation de handicap pour discuter du rendement de l’organisation en matière d’accessibilité; </w:t>
      </w:r>
    </w:p>
    <w:p w14:paraId="30FC05AC" w14:textId="77777777" w:rsidR="00151C6D" w:rsidRPr="00E34E46" w:rsidRDefault="00151C6D" w:rsidP="00032DAC">
      <w:pPr>
        <w:pStyle w:val="ListParagraph"/>
        <w:numPr>
          <w:ilvl w:val="0"/>
          <w:numId w:val="7"/>
        </w:numPr>
        <w:ind w:hanging="720"/>
      </w:pPr>
      <w:r w:rsidRPr="00E34E46">
        <w:t>Renforcer les liens avec les clients ou les utilisateurs des services pour recueillir leurs commentaires sur l’engagement de l’organisation en matière d’accessibilité; </w:t>
      </w:r>
    </w:p>
    <w:p w14:paraId="4F7273CC" w14:textId="40F72888" w:rsidR="00151C6D" w:rsidRPr="00E34E46" w:rsidRDefault="00151C6D" w:rsidP="00032DAC">
      <w:pPr>
        <w:pStyle w:val="ListParagraph"/>
        <w:numPr>
          <w:ilvl w:val="0"/>
          <w:numId w:val="7"/>
        </w:numPr>
        <w:ind w:hanging="720"/>
      </w:pPr>
      <w:r w:rsidRPr="00E34E46">
        <w:t xml:space="preserve">Entrer en contact avec des organisations qui œuvrent pour les personnes en situation de handicap, avec des fournisseurs de services et avec tout réseau pertinent qui favorise l’accessibilité; </w:t>
      </w:r>
    </w:p>
    <w:p w14:paraId="74D12A8E" w14:textId="19626363" w:rsidR="00151C6D" w:rsidRPr="00E34E46" w:rsidRDefault="00151C6D" w:rsidP="00032DAC">
      <w:pPr>
        <w:pStyle w:val="ListParagraph"/>
        <w:numPr>
          <w:ilvl w:val="0"/>
          <w:numId w:val="7"/>
        </w:numPr>
        <w:ind w:hanging="720"/>
      </w:pPr>
      <w:r w:rsidRPr="00E34E46">
        <w:t xml:space="preserve">Préparer ou mettre à jour une feuille de route organisationnelle, telle qu’un plan d’accessibilité pluriannuel, pour la mise en œuvre de l’accessibilité dans les pratiques, les politiques et les stratégies actuelles. </w:t>
      </w:r>
    </w:p>
    <w:p w14:paraId="175A7470" w14:textId="51E13D74" w:rsidR="00151C6D" w:rsidRPr="00E34E46" w:rsidRDefault="00151C6D" w:rsidP="00B56537">
      <w:pPr>
        <w:pStyle w:val="Heading4"/>
      </w:pPr>
      <w:bookmarkStart w:id="72" w:name="_Toc168722514"/>
      <w:bookmarkStart w:id="73" w:name="_Toc210828510"/>
      <w:r w:rsidRPr="00E34E46">
        <w:t>A2. Mieux préparer l’organisation et renforcer son engagement en matière d’accessibilité grâce à une feuille de route et à un plan d’accessibilité pluriannuel</w:t>
      </w:r>
      <w:bookmarkEnd w:id="72"/>
      <w:bookmarkEnd w:id="73"/>
    </w:p>
    <w:p w14:paraId="0431A111" w14:textId="133DCA70" w:rsidR="00151C6D" w:rsidRPr="00E34E46" w:rsidRDefault="00151C6D" w:rsidP="00B56537">
      <w:r w:rsidRPr="00E34E46">
        <w:t xml:space="preserve">Les organisations devraient continuer à mettre en œuvre les engagements et les priorités clés en matière d’accessibilité qui contribuent à </w:t>
      </w:r>
      <w:r w:rsidRPr="00E34E46">
        <w:lastRenderedPageBreak/>
        <w:t>un cadre, à une politique ou à des directives d’approvisionnement accessible. Pour accroître la sensibilisation et approfondir les connaissances en interne en matière d’accessibilité, l’organisation devrait : </w:t>
      </w:r>
    </w:p>
    <w:p w14:paraId="7EFCBB60" w14:textId="4450027C" w:rsidR="00151C6D" w:rsidRPr="00E34E46" w:rsidRDefault="00154836" w:rsidP="00032DAC">
      <w:pPr>
        <w:pStyle w:val="ListParagraph"/>
        <w:numPr>
          <w:ilvl w:val="0"/>
          <w:numId w:val="8"/>
        </w:numPr>
        <w:ind w:hanging="720"/>
      </w:pPr>
      <w:proofErr w:type="gramStart"/>
      <w:r w:rsidRPr="00E34E46">
        <w:t>continuer</w:t>
      </w:r>
      <w:proofErr w:type="gramEnd"/>
      <w:r w:rsidRPr="00E34E46">
        <w:t xml:space="preserve"> de mettre en œuvre une feuille de route ou un plan d’accessibilité pluriannuel à l’échelle de l’organisation ou du service, qui sera en harmonie avec les stratégies, la mission et les valeurs globales de l’organisation; </w:t>
      </w:r>
    </w:p>
    <w:p w14:paraId="40AD468A" w14:textId="6D5B96CF" w:rsidR="00151C6D" w:rsidRPr="00E34E46" w:rsidRDefault="00416B6B" w:rsidP="00032DAC">
      <w:pPr>
        <w:pStyle w:val="ListParagraph"/>
        <w:numPr>
          <w:ilvl w:val="0"/>
          <w:numId w:val="8"/>
        </w:numPr>
        <w:ind w:hanging="720"/>
      </w:pPr>
      <w:proofErr w:type="gramStart"/>
      <w:r w:rsidRPr="00E34E46">
        <w:t>intégrer</w:t>
      </w:r>
      <w:proofErr w:type="gramEnd"/>
      <w:r w:rsidRPr="00E34E46">
        <w:t xml:space="preserve"> l’accessibilité tout au long du développement de produits, de la création de contenu et des cycles de vie des services; </w:t>
      </w:r>
    </w:p>
    <w:p w14:paraId="5277EEEE" w14:textId="439BB0F1" w:rsidR="00151C6D" w:rsidRPr="00E34E46" w:rsidRDefault="00151C6D" w:rsidP="00032DAC">
      <w:pPr>
        <w:pStyle w:val="ListParagraph"/>
        <w:numPr>
          <w:ilvl w:val="0"/>
          <w:numId w:val="8"/>
        </w:numPr>
        <w:ind w:hanging="720"/>
      </w:pPr>
      <w:proofErr w:type="gramStart"/>
      <w:r w:rsidRPr="00E34E46">
        <w:t>établir</w:t>
      </w:r>
      <w:proofErr w:type="gramEnd"/>
      <w:r w:rsidRPr="00E34E46">
        <w:t xml:space="preserve"> un cadre d’évaluation pour la responsabilisation et le suivi interne et public du plan d’accessibilité pluriannuel ou de la feuille de route;</w:t>
      </w:r>
    </w:p>
    <w:p w14:paraId="5E15EF49" w14:textId="102AF35B" w:rsidR="00151C6D" w:rsidRPr="00E34E46" w:rsidRDefault="00151C6D" w:rsidP="00032DAC">
      <w:pPr>
        <w:pStyle w:val="ListParagraph"/>
        <w:numPr>
          <w:ilvl w:val="0"/>
          <w:numId w:val="8"/>
        </w:numPr>
        <w:ind w:hanging="720"/>
      </w:pPr>
      <w:proofErr w:type="gramStart"/>
      <w:r w:rsidRPr="00E34E46">
        <w:t>établir</w:t>
      </w:r>
      <w:proofErr w:type="gramEnd"/>
      <w:r w:rsidRPr="00E34E46">
        <w:t xml:space="preserve"> un mécanisme de plaintes en matière d’accessibilité qui sera anonyme, confidentiel, simplifié et inclusif. </w:t>
      </w:r>
    </w:p>
    <w:p w14:paraId="0A89A0A9" w14:textId="492B4E9A" w:rsidR="00151C6D" w:rsidRPr="00E34E46" w:rsidRDefault="00151C6D" w:rsidP="00B56537">
      <w:pPr>
        <w:pStyle w:val="Heading4"/>
      </w:pPr>
      <w:bookmarkStart w:id="74" w:name="_Toc168722515"/>
      <w:bookmarkStart w:id="75" w:name="_Toc210828511"/>
      <w:r w:rsidRPr="00E34E46">
        <w:lastRenderedPageBreak/>
        <w:t>A3. Promouvoir la compétence et le savoir-faire en matière d’accessibilité interdisciplinaire dans l’ensemble de l’organisation</w:t>
      </w:r>
      <w:bookmarkEnd w:id="74"/>
      <w:bookmarkEnd w:id="75"/>
    </w:p>
    <w:p w14:paraId="5CE51E67" w14:textId="413D0300" w:rsidR="00151C6D" w:rsidRPr="00E34E46" w:rsidRDefault="00151C6D" w:rsidP="00B56537">
      <w:r w:rsidRPr="00E34E46">
        <w:t xml:space="preserve">Les organisations devraient renforcer la sensibilisation et l’expertise interfonctionnelles en matière d’accessibilité à tous les échelons de l’organigramme. Pour ce faire, elles peuvent notamment : </w:t>
      </w:r>
    </w:p>
    <w:p w14:paraId="5CCC394C" w14:textId="57184631" w:rsidR="00151C6D" w:rsidRPr="00E34E46" w:rsidRDefault="00151C6D" w:rsidP="00032DAC">
      <w:pPr>
        <w:pStyle w:val="ListParagraph"/>
        <w:numPr>
          <w:ilvl w:val="0"/>
          <w:numId w:val="9"/>
        </w:numPr>
        <w:ind w:hanging="720"/>
      </w:pPr>
      <w:proofErr w:type="gramStart"/>
      <w:r w:rsidRPr="00E34E46">
        <w:t>promouvoir</w:t>
      </w:r>
      <w:proofErr w:type="gramEnd"/>
      <w:r w:rsidRPr="00E34E46">
        <w:t xml:space="preserve"> l’utilisation de documents accessibles dans l’organisation ainsi que la création de ces documents, leur circulation dans les activités quotidiennes, tant pour un usage interne que public, et leur compréhension; </w:t>
      </w:r>
    </w:p>
    <w:p w14:paraId="134DF9FF" w14:textId="2C646FB2" w:rsidR="008D36EA" w:rsidRPr="00E34E46" w:rsidRDefault="008D36EA" w:rsidP="00032DAC">
      <w:pPr>
        <w:pStyle w:val="ListParagraph"/>
        <w:numPr>
          <w:ilvl w:val="0"/>
          <w:numId w:val="9"/>
        </w:numPr>
        <w:ind w:hanging="720"/>
      </w:pPr>
      <w:proofErr w:type="gramStart"/>
      <w:r w:rsidRPr="00E34E46">
        <w:t>chercher</w:t>
      </w:r>
      <w:proofErr w:type="gramEnd"/>
      <w:r w:rsidRPr="00E34E46">
        <w:t xml:space="preserve"> à obtenir l’expertise professionnelle d’une personne ayant une expérience vécue en la matière, intégrer cette expertise et en établir la priorité, au lieu de chercher seulement des solutions technologiques, l’automatisation, ou encore la formation des personnes qui n’utilisent pas les technologies d’assistance ou qui n’ont aucune expérience vécue pertinente; </w:t>
      </w:r>
    </w:p>
    <w:p w14:paraId="3622CF0B" w14:textId="7A38D455" w:rsidR="00151C6D" w:rsidRPr="00E34E46" w:rsidRDefault="00151C6D" w:rsidP="00032DAC">
      <w:pPr>
        <w:pStyle w:val="ListParagraph"/>
        <w:numPr>
          <w:ilvl w:val="0"/>
          <w:numId w:val="9"/>
        </w:numPr>
        <w:ind w:hanging="720"/>
      </w:pPr>
      <w:proofErr w:type="gramStart"/>
      <w:r w:rsidRPr="00E34E46">
        <w:lastRenderedPageBreak/>
        <w:t>fournir</w:t>
      </w:r>
      <w:proofErr w:type="gramEnd"/>
      <w:r w:rsidRPr="00E34E46">
        <w:t xml:space="preserve">, intégrer et améliorer les compétences du personnel de soutien informatique pour les technologies d’assistance, de résolution de problèmes visant les systèmes internes, et d’interopérabilité. Mentionnons, entre autres, la promotion de certifications uniques en logiciels de technologies d’assistance ou de certifications obtenues auprès d’organismes professionnels; </w:t>
      </w:r>
    </w:p>
    <w:p w14:paraId="31ADBB8D" w14:textId="50C61479" w:rsidR="00650FC0" w:rsidRPr="00E34E46" w:rsidRDefault="00650FC0" w:rsidP="00032DAC">
      <w:pPr>
        <w:pStyle w:val="ListParagraph"/>
        <w:numPr>
          <w:ilvl w:val="0"/>
          <w:numId w:val="9"/>
        </w:numPr>
        <w:ind w:hanging="720"/>
      </w:pPr>
      <w:proofErr w:type="gramStart"/>
      <w:r w:rsidRPr="00E34E46">
        <w:t>demander</w:t>
      </w:r>
      <w:proofErr w:type="gramEnd"/>
      <w:r w:rsidRPr="00E34E46">
        <w:t xml:space="preserve"> aux établissements d’enseignement, aux programmes de formation professionnelle et aux associations d’inclure des compétences en accessibilité dans les certifications, les profils de poste et les offres d’emploi. </w:t>
      </w:r>
    </w:p>
    <w:p w14:paraId="706DB30F" w14:textId="24768E61" w:rsidR="00151C6D" w:rsidRPr="00E34E46" w:rsidRDefault="00151C6D" w:rsidP="00B56537">
      <w:pPr>
        <w:pStyle w:val="Heading3"/>
      </w:pPr>
      <w:bookmarkStart w:id="76" w:name="_Toc168722516"/>
      <w:bookmarkStart w:id="77" w:name="_Toc210828512"/>
      <w:r w:rsidRPr="00E34E46">
        <w:t>Thème B : Favoriser le leadership inclusif et le changement culturel de l’organisation en matière d’accessibilité afin d’élaborer une stratégie ou un cadre d’approvisionnement accessible</w:t>
      </w:r>
      <w:bookmarkEnd w:id="76"/>
      <w:bookmarkEnd w:id="77"/>
    </w:p>
    <w:p w14:paraId="4D169D21" w14:textId="58AEFCB2" w:rsidR="00423E23" w:rsidRPr="00E34E46" w:rsidRDefault="00151C6D" w:rsidP="009C26E2">
      <w:r w:rsidRPr="00E34E46">
        <w:t xml:space="preserve">Bien que certaines organisations puissent comprendre le besoin et l’importance de l’accessibilité du point de vue des clients ou des utilisateurs </w:t>
      </w:r>
      <w:r w:rsidRPr="00E34E46">
        <w:lastRenderedPageBreak/>
        <w:t xml:space="preserve">finaux, il se peut que la connexion et l’intégration avec les politiques, les pratiques et les procédures d’achat ne soient pas établies ou intégrées systématiquement. Une fois de plus, ces recommandations commencent par les organisations qui peuvent avoir besoin d’un point de départ et qui évolueront vers des stades avancés de maturité en matière d’accessibilité. </w:t>
      </w:r>
    </w:p>
    <w:p w14:paraId="7F7B32A4" w14:textId="01C0E97A" w:rsidR="00151C6D" w:rsidRPr="00E34E46" w:rsidRDefault="00151C6D" w:rsidP="00B56537">
      <w:pPr>
        <w:pStyle w:val="Heading4"/>
      </w:pPr>
      <w:bookmarkStart w:id="78" w:name="_Toc168722517"/>
      <w:bookmarkStart w:id="79" w:name="_Toc210828513"/>
      <w:r w:rsidRPr="00E34E46">
        <w:t>B1. Nommer un responsable de l’approvisionnement accessible en interne (qu’il s’agisse d’une nomination formelle ou d’une auto-nomination informelle)</w:t>
      </w:r>
      <w:bookmarkEnd w:id="78"/>
      <w:bookmarkEnd w:id="79"/>
    </w:p>
    <w:p w14:paraId="3452BA43" w14:textId="246D22C9" w:rsidR="00151C6D" w:rsidRPr="00E34E46" w:rsidRDefault="00151C6D" w:rsidP="00B56537">
      <w:r w:rsidRPr="00E34E46">
        <w:t>Les organisations devraient nommer un responsable en interne, qui jettera les bases d’un approvisionnement accessible grâce à des stratégies multiniveaux adaptées. Ce responsable devrait disposer des compétences, des aptitudes et des responsabilités suivantes, ou de certaines d’entre elles :</w:t>
      </w:r>
    </w:p>
    <w:p w14:paraId="64C05968" w14:textId="09DC4AEB" w:rsidR="00151C6D" w:rsidRPr="00E34E46" w:rsidRDefault="00151C6D" w:rsidP="00032DAC">
      <w:pPr>
        <w:pStyle w:val="ListParagraph"/>
        <w:numPr>
          <w:ilvl w:val="0"/>
          <w:numId w:val="10"/>
        </w:numPr>
        <w:ind w:hanging="720"/>
      </w:pPr>
      <w:proofErr w:type="gramStart"/>
      <w:r w:rsidRPr="00E34E46">
        <w:t>une</w:t>
      </w:r>
      <w:proofErr w:type="gramEnd"/>
      <w:r w:rsidRPr="00E34E46">
        <w:t xml:space="preserve"> solide connaissance de l’accessibilité ou de l’approvisionnement. Le responsable peut faire partie de l’équipe d’approvisionnement ou d’accessibilité et se connecter sur les projets d’approvisionnement;</w:t>
      </w:r>
    </w:p>
    <w:p w14:paraId="30E476FA" w14:textId="6332E14D" w:rsidR="00151C6D" w:rsidRPr="00E34E46" w:rsidRDefault="00151C6D" w:rsidP="00032DAC">
      <w:pPr>
        <w:pStyle w:val="ListParagraph"/>
        <w:numPr>
          <w:ilvl w:val="0"/>
          <w:numId w:val="10"/>
        </w:numPr>
        <w:ind w:hanging="720"/>
      </w:pPr>
      <w:proofErr w:type="gramStart"/>
      <w:r w:rsidRPr="00E34E46">
        <w:lastRenderedPageBreak/>
        <w:t>la</w:t>
      </w:r>
      <w:proofErr w:type="gramEnd"/>
      <w:r w:rsidRPr="00E34E46">
        <w:t xml:space="preserve"> création d’une définition pertinente et sur mesure de l’approvisionnement accessible pour leur organisation ou leur service respectif;</w:t>
      </w:r>
    </w:p>
    <w:p w14:paraId="47B52CA3" w14:textId="31FA2F33" w:rsidR="00151C6D" w:rsidRPr="00E34E46" w:rsidRDefault="00151C6D" w:rsidP="00032DAC">
      <w:pPr>
        <w:pStyle w:val="ListParagraph"/>
        <w:numPr>
          <w:ilvl w:val="0"/>
          <w:numId w:val="10"/>
        </w:numPr>
        <w:ind w:hanging="720"/>
      </w:pPr>
      <w:proofErr w:type="gramStart"/>
      <w:r w:rsidRPr="00E34E46">
        <w:t>l’élaboration</w:t>
      </w:r>
      <w:proofErr w:type="gramEnd"/>
      <w:r w:rsidRPr="00E34E46">
        <w:t xml:space="preserve"> d’une stratégie, de principes ou d’un cadre d’approvisionnement accessible en adéquation avec la structure opérationnelle de l’organisation ou de l’unité.</w:t>
      </w:r>
    </w:p>
    <w:p w14:paraId="0C7E3E90" w14:textId="720BF129" w:rsidR="00151C6D" w:rsidRPr="00E34E46" w:rsidRDefault="00151C6D" w:rsidP="00B56537">
      <w:pPr>
        <w:pStyle w:val="Heading4"/>
      </w:pPr>
      <w:bookmarkStart w:id="80" w:name="_Toc168722518"/>
      <w:bookmarkStart w:id="81" w:name="_Toc210828514"/>
      <w:r w:rsidRPr="00E34E46">
        <w:t>B2. Créer une analyse de rentabilisation pour intégrer l’accessibilité dans les processus et les pratiques d’approvisionnement de l’organisation</w:t>
      </w:r>
      <w:bookmarkEnd w:id="80"/>
      <w:bookmarkEnd w:id="81"/>
      <w:r w:rsidRPr="00E34E46">
        <w:t> </w:t>
      </w:r>
    </w:p>
    <w:p w14:paraId="6232C984" w14:textId="65F18467" w:rsidR="00151C6D" w:rsidRPr="00E34E46" w:rsidRDefault="00151C6D" w:rsidP="00B56537">
      <w:r w:rsidRPr="00E34E46">
        <w:t>Étant donné qu’il existe, pour les organisations, de multiples pressions et priorités concurrentes en matière d’approvisionnement, le responsable en interne et son équipe peuvent procéder à une analyse de la rentabilisation pour démontrer la nécessité et la justification de l’approvisionnement accessible. Cette analyse peut notamment :</w:t>
      </w:r>
    </w:p>
    <w:p w14:paraId="07F6B4CE" w14:textId="3C1743AE" w:rsidR="00F77D20" w:rsidRPr="00E34E46" w:rsidRDefault="00F77D20" w:rsidP="002401A9">
      <w:pPr>
        <w:pStyle w:val="ListParagraph"/>
        <w:numPr>
          <w:ilvl w:val="0"/>
          <w:numId w:val="11"/>
        </w:numPr>
        <w:ind w:hanging="720"/>
      </w:pPr>
      <w:proofErr w:type="gramStart"/>
      <w:r w:rsidRPr="00E34E46">
        <w:t>définir</w:t>
      </w:r>
      <w:proofErr w:type="gramEnd"/>
      <w:r w:rsidRPr="00E34E46">
        <w:t xml:space="preserve"> les études de cas pertinentes et les chefs de file du secteur</w:t>
      </w:r>
      <w:r w:rsidR="007350AC" w:rsidRPr="00E34E46">
        <w:t>;</w:t>
      </w:r>
    </w:p>
    <w:p w14:paraId="4BEBCD43" w14:textId="7D714B31" w:rsidR="00186510" w:rsidRPr="00E34E46" w:rsidRDefault="00F77D20" w:rsidP="002401A9">
      <w:pPr>
        <w:pStyle w:val="ListParagraph"/>
        <w:numPr>
          <w:ilvl w:val="0"/>
          <w:numId w:val="11"/>
        </w:numPr>
        <w:ind w:hanging="720"/>
      </w:pPr>
      <w:proofErr w:type="gramStart"/>
      <w:r w:rsidRPr="00E34E46">
        <w:t>expliquer</w:t>
      </w:r>
      <w:proofErr w:type="gramEnd"/>
      <w:r w:rsidRPr="00E34E46">
        <w:t xml:space="preserve"> les risques juridiques et les risques pour la réputation qui découlent de l’accessibilité et de l’approvisionnement;</w:t>
      </w:r>
    </w:p>
    <w:p w14:paraId="43E05CFA" w14:textId="7E5E8697" w:rsidR="00F77D20" w:rsidRPr="00E34E46" w:rsidRDefault="00F77D20" w:rsidP="002401A9">
      <w:pPr>
        <w:pStyle w:val="ListParagraph"/>
        <w:numPr>
          <w:ilvl w:val="0"/>
          <w:numId w:val="11"/>
        </w:numPr>
        <w:ind w:hanging="720"/>
      </w:pPr>
      <w:proofErr w:type="gramStart"/>
      <w:r w:rsidRPr="00E34E46">
        <w:lastRenderedPageBreak/>
        <w:t>cerner</w:t>
      </w:r>
      <w:proofErr w:type="gramEnd"/>
      <w:r w:rsidRPr="00E34E46">
        <w:t xml:space="preserve"> tout problème d’accessibilité interne ou existant lié aux produits, aux biens ou aux services, aux études de cas du secteur, ou aux études de cas nationales et internationales;</w:t>
      </w:r>
    </w:p>
    <w:p w14:paraId="115BAEBA" w14:textId="638C3A15" w:rsidR="00F77D20" w:rsidRPr="00E34E46" w:rsidRDefault="00F77D20" w:rsidP="002401A9">
      <w:pPr>
        <w:pStyle w:val="ListParagraph"/>
        <w:numPr>
          <w:ilvl w:val="0"/>
          <w:numId w:val="11"/>
        </w:numPr>
        <w:ind w:hanging="720"/>
      </w:pPr>
      <w:proofErr w:type="gramStart"/>
      <w:r w:rsidRPr="00E34E46">
        <w:t>réaliser</w:t>
      </w:r>
      <w:proofErr w:type="gramEnd"/>
      <w:r w:rsidRPr="00E34E46">
        <w:t xml:space="preserve"> ou préparer une analyse coûts-avantages, ou employer d’autres méthodes, au besoin, pour démontrer les avantages de l’accessibilité pour l’organisation ou le secteur d’activités;</w:t>
      </w:r>
    </w:p>
    <w:p w14:paraId="510AA294" w14:textId="31A4039A" w:rsidR="00151C6D" w:rsidRPr="00E34E46" w:rsidRDefault="00151C6D" w:rsidP="002401A9">
      <w:pPr>
        <w:pStyle w:val="ListParagraph"/>
        <w:numPr>
          <w:ilvl w:val="0"/>
          <w:numId w:val="11"/>
        </w:numPr>
        <w:ind w:hanging="720"/>
      </w:pPr>
      <w:proofErr w:type="gramStart"/>
      <w:r w:rsidRPr="00E34E46">
        <w:t>démontrer</w:t>
      </w:r>
      <w:proofErr w:type="gramEnd"/>
      <w:r w:rsidRPr="00E34E46">
        <w:t xml:space="preserve"> le rendement de l’investissement potentiel d’un programme d’approvisionnement accessible, y compris l’augmentation de la portée du marché et la réduction des frais de développement;</w:t>
      </w:r>
    </w:p>
    <w:p w14:paraId="15727216" w14:textId="159D2999" w:rsidR="00240916" w:rsidRPr="00E34E46" w:rsidRDefault="00240916" w:rsidP="002401A9">
      <w:pPr>
        <w:pStyle w:val="ListParagraph"/>
        <w:numPr>
          <w:ilvl w:val="0"/>
          <w:numId w:val="11"/>
        </w:numPr>
        <w:ind w:hanging="720"/>
      </w:pPr>
      <w:proofErr w:type="gramStart"/>
      <w:r w:rsidRPr="00E34E46">
        <w:t>expliquer</w:t>
      </w:r>
      <w:proofErr w:type="gramEnd"/>
      <w:r w:rsidRPr="00E34E46">
        <w:t xml:space="preserve"> pourquoi l’accessibilité est essentielle à une main-d’œuvre diversifiée et inclusive où tous les employés peuvent participer pleinement. L’explication peut par exemple comprendre des statistiques internes sur la main-d’œuvre ou encore des renseignements sur la satisfaction au travail, les plaintes en matière d’accessibilité, le taux de roulement des employés, les coûts de développement et de prestation de services, les données démographiques sur la diversité des fournisseurs, etc.</w:t>
      </w:r>
    </w:p>
    <w:p w14:paraId="0450782C" w14:textId="4A625E3A" w:rsidR="00151C6D" w:rsidRPr="00E34E46" w:rsidRDefault="00151C6D" w:rsidP="00B56537">
      <w:pPr>
        <w:pStyle w:val="Heading4"/>
      </w:pPr>
      <w:bookmarkStart w:id="82" w:name="_Toc168722519"/>
      <w:bookmarkStart w:id="83" w:name="_Toc210828515"/>
      <w:r w:rsidRPr="00E34E46">
        <w:lastRenderedPageBreak/>
        <w:t>B3. Élaborer une stratégie ou un cadre interne en matière d’approvisionnement accessible</w:t>
      </w:r>
      <w:bookmarkEnd w:id="82"/>
      <w:bookmarkEnd w:id="83"/>
    </w:p>
    <w:p w14:paraId="1E1EE45D" w14:textId="4951909F" w:rsidR="00151C6D" w:rsidRPr="00E34E46" w:rsidRDefault="00151C6D" w:rsidP="00B56537">
      <w:r w:rsidRPr="00E34E46">
        <w:t>La direction de l’organisation doit promouvoir le changement organisationnel. Il s’agit par exemple d’obtenir son soutien quant aux engagements et aux priorités en matière d’accessibilité. Pour établir la structure fondamentale d’une stratégie ou d’un cadre d’approvisionnement accessible, les organisations devraient envisager :</w:t>
      </w:r>
    </w:p>
    <w:p w14:paraId="69D4E01F" w14:textId="7B0D0472" w:rsidR="00FA1CF7" w:rsidRPr="00E34E46" w:rsidRDefault="00FA1CF7" w:rsidP="002401A9">
      <w:pPr>
        <w:pStyle w:val="ListParagraph"/>
        <w:numPr>
          <w:ilvl w:val="0"/>
          <w:numId w:val="12"/>
        </w:numPr>
        <w:ind w:hanging="720"/>
      </w:pPr>
      <w:proofErr w:type="gramStart"/>
      <w:r w:rsidRPr="00E34E46">
        <w:t>d’obtenir</w:t>
      </w:r>
      <w:proofErr w:type="gramEnd"/>
      <w:r w:rsidRPr="00E34E46">
        <w:t>, de la part de la direction de l’organisation, la promotion du changement organisationnel, de l’attribution de ressources et de la budgétisation;</w:t>
      </w:r>
    </w:p>
    <w:p w14:paraId="26A6E985" w14:textId="1E97A6BF" w:rsidR="00FA1CF7" w:rsidRPr="00E34E46" w:rsidRDefault="00FA1CF7" w:rsidP="002401A9">
      <w:pPr>
        <w:pStyle w:val="ListParagraph"/>
        <w:numPr>
          <w:ilvl w:val="0"/>
          <w:numId w:val="12"/>
        </w:numPr>
        <w:ind w:hanging="720"/>
      </w:pPr>
      <w:proofErr w:type="gramStart"/>
      <w:r w:rsidRPr="00E34E46">
        <w:t>d’obtenir</w:t>
      </w:r>
      <w:proofErr w:type="gramEnd"/>
      <w:r w:rsidRPr="00E34E46">
        <w:t xml:space="preserve"> l’approbation de la gouvernance organisationnelle, le cas échéant, pour chaque organisation ou service;</w:t>
      </w:r>
    </w:p>
    <w:p w14:paraId="6C59539A" w14:textId="77777777" w:rsidR="00FA1CF7" w:rsidRPr="00E34E46" w:rsidRDefault="00FA1CF7" w:rsidP="002401A9">
      <w:pPr>
        <w:pStyle w:val="ListParagraph"/>
        <w:numPr>
          <w:ilvl w:val="0"/>
          <w:numId w:val="12"/>
        </w:numPr>
        <w:ind w:hanging="720"/>
      </w:pPr>
      <w:proofErr w:type="gramStart"/>
      <w:r w:rsidRPr="00E34E46">
        <w:t>d’élaborer</w:t>
      </w:r>
      <w:proofErr w:type="gramEnd"/>
      <w:r w:rsidRPr="00E34E46">
        <w:t xml:space="preserve"> une politique d’accessibilité organisationnelle;</w:t>
      </w:r>
    </w:p>
    <w:p w14:paraId="39E9354E" w14:textId="77777777" w:rsidR="00FA1CF7" w:rsidRPr="00E34E46" w:rsidRDefault="00FA1CF7" w:rsidP="002401A9">
      <w:pPr>
        <w:pStyle w:val="ListParagraph"/>
        <w:numPr>
          <w:ilvl w:val="0"/>
          <w:numId w:val="12"/>
        </w:numPr>
        <w:ind w:hanging="720"/>
      </w:pPr>
      <w:proofErr w:type="gramStart"/>
      <w:r w:rsidRPr="00E34E46">
        <w:t>de</w:t>
      </w:r>
      <w:proofErr w:type="gramEnd"/>
      <w:r w:rsidRPr="00E34E46">
        <w:t xml:space="preserve"> nommer un leader clé dans l’équipe d’approvisionnement, qui saura diriger et renforcer la sensibilisation organisationnelle aux répercussions et à la nécessité de l’approvisionnement accessible;</w:t>
      </w:r>
    </w:p>
    <w:p w14:paraId="42AEBCA4" w14:textId="77777777" w:rsidR="00FA1CF7" w:rsidRPr="00E34E46" w:rsidRDefault="00FA1CF7" w:rsidP="002401A9">
      <w:pPr>
        <w:pStyle w:val="ListParagraph"/>
        <w:numPr>
          <w:ilvl w:val="0"/>
          <w:numId w:val="12"/>
        </w:numPr>
        <w:ind w:hanging="720"/>
      </w:pPr>
      <w:proofErr w:type="gramStart"/>
      <w:r w:rsidRPr="00E34E46">
        <w:lastRenderedPageBreak/>
        <w:t>d’établir</w:t>
      </w:r>
      <w:proofErr w:type="gramEnd"/>
      <w:r w:rsidRPr="00E34E46">
        <w:t xml:space="preserve"> une équipe d’accessibilité interfonctionnelle représentant différents services et intervenants et favorisant les efforts d’accessibilité;</w:t>
      </w:r>
    </w:p>
    <w:p w14:paraId="2E78DC76" w14:textId="59260CE3" w:rsidR="00294AC0" w:rsidRPr="00E34E46" w:rsidRDefault="00FA1CF7" w:rsidP="002401A9">
      <w:pPr>
        <w:pStyle w:val="ListParagraph"/>
        <w:numPr>
          <w:ilvl w:val="0"/>
          <w:numId w:val="12"/>
        </w:numPr>
        <w:ind w:hanging="720"/>
      </w:pPr>
      <w:proofErr w:type="gramStart"/>
      <w:r w:rsidRPr="00E34E46">
        <w:t>de</w:t>
      </w:r>
      <w:proofErr w:type="gramEnd"/>
      <w:r w:rsidRPr="00E34E46">
        <w:t xml:space="preserve"> promouvoir une communication ouverte entre les services afin de mettre en la priorité l’accessibilité dans les opérations organisationnelles;</w:t>
      </w:r>
    </w:p>
    <w:p w14:paraId="4487A81C" w14:textId="60217E74" w:rsidR="00FA1CF7" w:rsidRPr="00E34E46" w:rsidRDefault="00294AC0" w:rsidP="002401A9">
      <w:pPr>
        <w:pStyle w:val="ListParagraph"/>
        <w:numPr>
          <w:ilvl w:val="0"/>
          <w:numId w:val="12"/>
        </w:numPr>
        <w:ind w:hanging="720"/>
      </w:pPr>
      <w:proofErr w:type="gramStart"/>
      <w:r w:rsidRPr="00E34E46">
        <w:t>de</w:t>
      </w:r>
      <w:proofErr w:type="gramEnd"/>
      <w:r w:rsidRPr="00E34E46">
        <w:t xml:space="preserve"> favoriser les collaborations interfonctionnelles qui sont intentionnelles plutôt qu’ad hoc ou sporadiques;</w:t>
      </w:r>
    </w:p>
    <w:p w14:paraId="44949424" w14:textId="77777777" w:rsidR="00FA1CF7" w:rsidRPr="00E34E46" w:rsidRDefault="00FA1CF7" w:rsidP="002401A9">
      <w:pPr>
        <w:pStyle w:val="ListParagraph"/>
        <w:numPr>
          <w:ilvl w:val="0"/>
          <w:numId w:val="12"/>
        </w:numPr>
        <w:ind w:hanging="720"/>
      </w:pPr>
      <w:proofErr w:type="gramStart"/>
      <w:r w:rsidRPr="00E34E46">
        <w:t>de</w:t>
      </w:r>
      <w:proofErr w:type="gramEnd"/>
      <w:r w:rsidRPr="00E34E46">
        <w:t xml:space="preserve"> revoir et de modifier les politiques, les procédures et les directives d’approvisionnement ou d’achat afin qu’elles comprennent les normes d’accessibilité, les exigences pertinentes, ou les principes de conception universelle.</w:t>
      </w:r>
    </w:p>
    <w:p w14:paraId="47AFD2B2" w14:textId="2EF4E779" w:rsidR="00151C6D" w:rsidRPr="00E34E46" w:rsidRDefault="00151C6D" w:rsidP="00B56537">
      <w:pPr>
        <w:pStyle w:val="Heading3"/>
      </w:pPr>
      <w:bookmarkStart w:id="84" w:name="_Toc168722520"/>
      <w:bookmarkStart w:id="85" w:name="_Toc210828516"/>
      <w:r w:rsidRPr="00E34E46">
        <w:t xml:space="preserve">Thème C : </w:t>
      </w:r>
      <w:bookmarkStart w:id="86" w:name="_Hlk167183600"/>
      <w:r w:rsidRPr="00E34E46">
        <w:t>Développer les compétences internes, les connaissances, l’expertise et les ressources pour les professionnels et les équipes en approvisionnement</w:t>
      </w:r>
      <w:bookmarkEnd w:id="84"/>
      <w:bookmarkEnd w:id="85"/>
      <w:bookmarkEnd w:id="86"/>
    </w:p>
    <w:p w14:paraId="72346794" w14:textId="1EA5328A" w:rsidR="00293298" w:rsidRPr="00E34E46" w:rsidRDefault="00B6460E" w:rsidP="000D5691">
      <w:r w:rsidRPr="00E34E46">
        <w:t xml:space="preserve">Nous avons placé cette recommandation avant l’opérationnalisation de l’approvisionnement accessible en raison de l’importance de ce besoin de </w:t>
      </w:r>
      <w:r w:rsidRPr="00E34E46">
        <w:lastRenderedPageBreak/>
        <w:t xml:space="preserve">formation ciblée, exprimé et réclamé dans le cadre des consultations. Développer l’expertise et la capacité de connaissance des professionnels de l’approvisionnement et des personnes concernées par le processus d’achat, comme les décisionnaires, est essentiel. Il s’agit notamment de développer des compétences internes en matière d’accessibilité et d’intégrer l’inclusion des personnes en situation de handicap dans les professions liées à l’approvisionnement et les formations en approvisionnement. </w:t>
      </w:r>
    </w:p>
    <w:p w14:paraId="3F32CC62" w14:textId="634BE168" w:rsidR="00151C6D" w:rsidRPr="00E34E46" w:rsidRDefault="00151C6D" w:rsidP="00B56537">
      <w:pPr>
        <w:pStyle w:val="Heading4"/>
      </w:pPr>
      <w:bookmarkStart w:id="87" w:name="_Toc168722521"/>
      <w:bookmarkStart w:id="88" w:name="_Toc210828517"/>
      <w:r w:rsidRPr="00E34E46">
        <w:t>C1. Concevoir et préparer des formations, des ateliers, des tournées internes et des initiatives afin d’accroître l’expertise en accessibilité des professionnels de l’approvisionnement, des équipes et des décisionnaires internes</w:t>
      </w:r>
      <w:bookmarkEnd w:id="87"/>
      <w:bookmarkEnd w:id="88"/>
    </w:p>
    <w:p w14:paraId="1AD79DA7" w14:textId="3AFA9D8B" w:rsidR="00151C6D" w:rsidRPr="00E34E46" w:rsidRDefault="00151C6D" w:rsidP="00B56537">
      <w:r w:rsidRPr="00E34E46">
        <w:t>Pour que les équipes et les professionnels de l’approvisionnement puissent exercer leurs fonctions de manière plus inclusive et prendre des décisions éclairées, il faut des formations et des offres en matière d’accessibilité. Les priorités de l’organisation en matière de formation en approvisionnement doivent tenir compte de ce qui suit : </w:t>
      </w:r>
    </w:p>
    <w:p w14:paraId="75FDDAF7" w14:textId="23C9343D" w:rsidR="00151C6D" w:rsidRPr="00E34E46" w:rsidRDefault="002601BB" w:rsidP="002401A9">
      <w:pPr>
        <w:pStyle w:val="ListParagraph"/>
        <w:numPr>
          <w:ilvl w:val="0"/>
          <w:numId w:val="13"/>
        </w:numPr>
        <w:ind w:hanging="720"/>
      </w:pPr>
      <w:proofErr w:type="gramStart"/>
      <w:r w:rsidRPr="00E34E46">
        <w:lastRenderedPageBreak/>
        <w:t>offrir</w:t>
      </w:r>
      <w:proofErr w:type="gramEnd"/>
      <w:r w:rsidRPr="00E34E46">
        <w:t xml:space="preserve"> des ressources et de la formation sur l’accessibilité à tous les membres de l’équipe d’approvisionnement. Elles s’assureraient ainsi qu’ils possèdent les compétences et les connaissances requises pour mettre en œuvre des pratiques d’approvisionnement accessibles. Pour ce faire, il faudrait :</w:t>
      </w:r>
    </w:p>
    <w:p w14:paraId="27CC7CB6" w14:textId="1A7D5562" w:rsidR="00A772B8" w:rsidRPr="00E34E46" w:rsidRDefault="00151C6D" w:rsidP="002401A9">
      <w:pPr>
        <w:pStyle w:val="ListParagraph"/>
        <w:numPr>
          <w:ilvl w:val="1"/>
          <w:numId w:val="57"/>
        </w:numPr>
      </w:pPr>
      <w:proofErr w:type="gramStart"/>
      <w:r w:rsidRPr="00E34E46">
        <w:t>développer</w:t>
      </w:r>
      <w:proofErr w:type="gramEnd"/>
      <w:r w:rsidRPr="00E34E46">
        <w:t xml:space="preserve"> des ressources éducatives et des programmes de formation complets sur les politiques et les lois en matière d’accessibilité, les droits de la personne et la justice pour les personnes en situation de handicap, les obstacles comportementaux, les obstacles systémiques, la diversité et l’intersectionnalité des handicaps et des capacités ainsi que les risques et l’accessibilité;</w:t>
      </w:r>
    </w:p>
    <w:p w14:paraId="26C629B9" w14:textId="78E5BE7B" w:rsidR="00151C6D" w:rsidRPr="00E34E46" w:rsidRDefault="00263097" w:rsidP="002401A9">
      <w:pPr>
        <w:pStyle w:val="ListParagraph"/>
        <w:numPr>
          <w:ilvl w:val="1"/>
          <w:numId w:val="57"/>
        </w:numPr>
      </w:pPr>
      <w:proofErr w:type="gramStart"/>
      <w:r w:rsidRPr="00E34E46">
        <w:t>accroître</w:t>
      </w:r>
      <w:proofErr w:type="gramEnd"/>
      <w:r w:rsidRPr="00E34E46">
        <w:t xml:space="preserve"> la sensibilisation et la compréhension de l’approvisionnement accessible en utilisant les principes de la conception universelle de l’apprentissage à l’aide d’études de cas réels et de pédagogies d’apprentissage réflexives;</w:t>
      </w:r>
    </w:p>
    <w:p w14:paraId="4EC1EC59" w14:textId="20C968F9" w:rsidR="00151C6D" w:rsidRPr="00E34E46" w:rsidRDefault="00151C6D" w:rsidP="002401A9">
      <w:pPr>
        <w:pStyle w:val="ListParagraph"/>
        <w:numPr>
          <w:ilvl w:val="1"/>
          <w:numId w:val="57"/>
        </w:numPr>
      </w:pPr>
      <w:proofErr w:type="gramStart"/>
      <w:r w:rsidRPr="00E34E46">
        <w:t>fournir</w:t>
      </w:r>
      <w:proofErr w:type="gramEnd"/>
      <w:r w:rsidRPr="00E34E46">
        <w:t xml:space="preserve"> des ressources propres à l’emploi et des possibilités d’apprentissage aux professionnels de l’approvisionnement pour </w:t>
      </w:r>
      <w:r w:rsidRPr="00E34E46">
        <w:lastRenderedPageBreak/>
        <w:t>qu’ils puissent se perfectionner et acquérir l’expertise nécessaire en matière d’accessibilité.</w:t>
      </w:r>
    </w:p>
    <w:p w14:paraId="0094F039" w14:textId="6AE371D7" w:rsidR="00151C6D" w:rsidRPr="00E34E46" w:rsidRDefault="00151C6D" w:rsidP="00B56537">
      <w:pPr>
        <w:pStyle w:val="Heading4"/>
      </w:pPr>
      <w:bookmarkStart w:id="89" w:name="_Toc168722522"/>
      <w:bookmarkStart w:id="90" w:name="_Toc210828518"/>
      <w:r w:rsidRPr="00E34E46">
        <w:t>C2: Consulter les intervenants externes pertinents (p. ex., les organisations de défense des personnes en situation de handicap ou les experts en accessibilité) afin de recueillir leurs observations et leur soutien sur l’approvisionnement accessible</w:t>
      </w:r>
      <w:bookmarkEnd w:id="89"/>
      <w:bookmarkEnd w:id="90"/>
    </w:p>
    <w:p w14:paraId="5A5D7209" w14:textId="75EE257C" w:rsidR="00521FE5" w:rsidRPr="00E34E46" w:rsidRDefault="00151C6D" w:rsidP="00B56537">
      <w:r w:rsidRPr="00E34E46">
        <w:t>Il faut communiquer avec les intervenants externes pertinents (p. ex., les groupes de défense des personnes en situation de handicap, les réseaux ou les experts en accessibilité) pour recueillir leurs observations et obtenir leur aide concernant l’approvisionnement accessible.</w:t>
      </w:r>
      <w:r w:rsidR="007350AC" w:rsidRPr="00E34E46">
        <w:t xml:space="preserve"> </w:t>
      </w:r>
      <w:r w:rsidRPr="00E34E46">
        <w:t>Les organisations et entités devraient :</w:t>
      </w:r>
    </w:p>
    <w:p w14:paraId="6CD05EAC" w14:textId="262F1B78" w:rsidR="00151C6D" w:rsidRPr="00E34E46" w:rsidRDefault="00151C6D" w:rsidP="002401A9">
      <w:pPr>
        <w:pStyle w:val="ListParagraph"/>
        <w:numPr>
          <w:ilvl w:val="0"/>
          <w:numId w:val="14"/>
        </w:numPr>
        <w:ind w:hanging="720"/>
      </w:pPr>
      <w:proofErr w:type="gramStart"/>
      <w:r w:rsidRPr="00E34E46">
        <w:t>collaborer</w:t>
      </w:r>
      <w:proofErr w:type="gramEnd"/>
      <w:r w:rsidRPr="00E34E46">
        <w:t xml:space="preserve"> avec les groupes de défense en matière d’accessibilité, les organisations œuvrant pour les personnes en situation de handicap et les experts en la matière pour obtenir des renseignements et du soutien, puis échanger des pratiques exemplaires et apprendre de </w:t>
      </w:r>
      <w:r w:rsidRPr="00E34E46">
        <w:lastRenderedPageBreak/>
        <w:t>ceux qui ont réussi à mettre en œuvre un approvisionnement accessible;</w:t>
      </w:r>
    </w:p>
    <w:p w14:paraId="10CCCD85" w14:textId="25165BC7" w:rsidR="00151C6D" w:rsidRPr="00E34E46" w:rsidRDefault="00151C6D" w:rsidP="002401A9">
      <w:pPr>
        <w:pStyle w:val="ListParagraph"/>
        <w:numPr>
          <w:ilvl w:val="0"/>
          <w:numId w:val="14"/>
        </w:numPr>
        <w:ind w:hanging="720"/>
      </w:pPr>
      <w:proofErr w:type="gramStart"/>
      <w:r w:rsidRPr="00E34E46">
        <w:t>favoriser</w:t>
      </w:r>
      <w:proofErr w:type="gramEnd"/>
      <w:r w:rsidRPr="00E34E46">
        <w:t xml:space="preserve"> la collaboration et l’engagement dans les plateformes de partage des connaissances où les professionnels de l’approvisionnement peuvent échanger des pratiques innovantes et tirer parti de leurs expériences respectives;</w:t>
      </w:r>
    </w:p>
    <w:p w14:paraId="1BF52F06" w14:textId="65CB9717" w:rsidR="00151C6D" w:rsidRPr="00E34E46" w:rsidRDefault="00151C6D" w:rsidP="002401A9">
      <w:pPr>
        <w:pStyle w:val="ListParagraph"/>
        <w:numPr>
          <w:ilvl w:val="0"/>
          <w:numId w:val="14"/>
        </w:numPr>
        <w:ind w:hanging="720"/>
      </w:pPr>
      <w:proofErr w:type="gramStart"/>
      <w:r w:rsidRPr="00E34E46">
        <w:t>faciliter</w:t>
      </w:r>
      <w:proofErr w:type="gramEnd"/>
      <w:r w:rsidRPr="00E34E46">
        <w:t xml:space="preserve"> les partenariats intentionnels et la collaboration entre les professionnels de l’approvisionnement et les experts en accessibilité au sein des organisations afin d’assurer une approche globale à l’approvisionnement accessible;</w:t>
      </w:r>
    </w:p>
    <w:p w14:paraId="2819CC80" w14:textId="4E70373B" w:rsidR="00151C6D" w:rsidRPr="00E34E46" w:rsidRDefault="00151C6D" w:rsidP="002401A9">
      <w:pPr>
        <w:pStyle w:val="ListParagraph"/>
        <w:numPr>
          <w:ilvl w:val="0"/>
          <w:numId w:val="14"/>
        </w:numPr>
        <w:ind w:hanging="720"/>
      </w:pPr>
      <w:proofErr w:type="gramStart"/>
      <w:r w:rsidRPr="00E34E46">
        <w:t>créer</w:t>
      </w:r>
      <w:proofErr w:type="gramEnd"/>
      <w:r w:rsidRPr="00E34E46">
        <w:t xml:space="preserve"> à l’échelle nationale un forum ou une communauté accessible sur l’approvisionnement, où les employeurs peuvent réseauter, faire du mentorat et communiquer des pratiques efficaces, tout en élaborant des études de cas et en dégageant les tendances et les innovations en la matière.</w:t>
      </w:r>
    </w:p>
    <w:p w14:paraId="00C723BE" w14:textId="00E7CD0E" w:rsidR="00151C6D" w:rsidRPr="00E34E46" w:rsidRDefault="00151C6D" w:rsidP="00B56537">
      <w:pPr>
        <w:pStyle w:val="Heading3"/>
        <w:rPr>
          <w:rStyle w:val="eop"/>
        </w:rPr>
      </w:pPr>
      <w:bookmarkStart w:id="91" w:name="_Toc168722523"/>
      <w:bookmarkStart w:id="92" w:name="_Toc210828519"/>
      <w:r w:rsidRPr="00E34E46">
        <w:rPr>
          <w:rStyle w:val="normaltextrun"/>
        </w:rPr>
        <w:lastRenderedPageBreak/>
        <w:t>Thème D : Mettre en œuvre l’approvisionnement accessible dans le cycle de vie de l’approvisionnement de l’organisation</w:t>
      </w:r>
      <w:bookmarkEnd w:id="91"/>
      <w:bookmarkEnd w:id="92"/>
    </w:p>
    <w:p w14:paraId="72B2F04F" w14:textId="4C210BCB" w:rsidR="00151C6D" w:rsidRPr="00E34E46" w:rsidRDefault="00151C6D" w:rsidP="00B56537">
      <w:r w:rsidRPr="00E34E46">
        <w:t>Cette section fournit des recommandations qui peuvent être intégrées et adaptées au contexte et aux besoins de l’organisation.</w:t>
      </w:r>
    </w:p>
    <w:p w14:paraId="55BA010F" w14:textId="686A6D58" w:rsidR="00151C6D" w:rsidRPr="00E34E46" w:rsidRDefault="00151C6D" w:rsidP="00B56537">
      <w:pPr>
        <w:pStyle w:val="Heading4"/>
        <w:rPr>
          <w:rStyle w:val="normaltextrun"/>
        </w:rPr>
      </w:pPr>
      <w:bookmarkStart w:id="93" w:name="_Toc168722524"/>
      <w:bookmarkStart w:id="94" w:name="_Toc210828520"/>
      <w:r w:rsidRPr="00E34E46">
        <w:rPr>
          <w:rStyle w:val="normaltextrun"/>
        </w:rPr>
        <w:t>D1. Embaucher des experts en accessibilité ayant une expérience vécue dans une équipe d’approvisionnement</w:t>
      </w:r>
      <w:bookmarkEnd w:id="93"/>
      <w:bookmarkEnd w:id="94"/>
    </w:p>
    <w:p w14:paraId="5BC7734A" w14:textId="3B15B4F5" w:rsidR="00151C6D" w:rsidRPr="00E34E46" w:rsidRDefault="00EC6CC5" w:rsidP="00B56537">
      <w:r w:rsidRPr="00E34E46">
        <w:t>L’organisation ou le</w:t>
      </w:r>
      <w:r w:rsidR="007350AC" w:rsidRPr="00E34E46">
        <w:t xml:space="preserve"> </w:t>
      </w:r>
      <w:r w:rsidRPr="00E34E46">
        <w:t>service devrait :</w:t>
      </w:r>
    </w:p>
    <w:p w14:paraId="0D9ECBBB" w14:textId="44604286" w:rsidR="00151C6D" w:rsidRPr="00E34E46" w:rsidRDefault="0011720E" w:rsidP="002401A9">
      <w:pPr>
        <w:pStyle w:val="ListParagraph"/>
        <w:numPr>
          <w:ilvl w:val="0"/>
          <w:numId w:val="15"/>
        </w:numPr>
        <w:ind w:hanging="720"/>
      </w:pPr>
      <w:proofErr w:type="gramStart"/>
      <w:r w:rsidRPr="00E34E46">
        <w:rPr>
          <w:rStyle w:val="normaltextrun"/>
          <w:color w:val="000000"/>
        </w:rPr>
        <w:t>intégrer</w:t>
      </w:r>
      <w:proofErr w:type="gramEnd"/>
      <w:r w:rsidRPr="00E34E46">
        <w:rPr>
          <w:rStyle w:val="normaltextrun"/>
          <w:color w:val="000000"/>
        </w:rPr>
        <w:t xml:space="preserve"> des personnes ayant une expertise en accessibilité dans les projets d’approvisionnement et les équipes d’évaluation;</w:t>
      </w:r>
    </w:p>
    <w:p w14:paraId="1FFA835A" w14:textId="3BE4D736" w:rsidR="00151C6D" w:rsidRPr="00E34E46" w:rsidRDefault="00925757" w:rsidP="002401A9">
      <w:pPr>
        <w:pStyle w:val="ListParagraph"/>
        <w:numPr>
          <w:ilvl w:val="0"/>
          <w:numId w:val="15"/>
        </w:numPr>
        <w:ind w:hanging="720"/>
        <w:rPr>
          <w:rStyle w:val="eop"/>
        </w:rPr>
      </w:pPr>
      <w:proofErr w:type="gramStart"/>
      <w:r w:rsidRPr="00E34E46">
        <w:rPr>
          <w:rStyle w:val="normaltextrun"/>
        </w:rPr>
        <w:t>s’engager</w:t>
      </w:r>
      <w:proofErr w:type="gramEnd"/>
      <w:r w:rsidRPr="00E34E46">
        <w:rPr>
          <w:rStyle w:val="normaltextrun"/>
        </w:rPr>
        <w:t xml:space="preserve"> auprès des groupes de ressources pour les employés en situation de handicap en interne ou auprès d’autres organes consultatifs pendant le processus d’approvisionnement, le cas échéant, lors de la planification et de la prestation des formations sur l’importance de l’accessibilité et sur les interactions des personnes </w:t>
      </w:r>
      <w:r w:rsidRPr="00E34E46">
        <w:rPr>
          <w:rStyle w:val="normaltextrun"/>
        </w:rPr>
        <w:lastRenderedPageBreak/>
        <w:t>ayant des capacités et des niveaux de compétences variés pour ce qui est des technologies, des installations et des services;</w:t>
      </w:r>
    </w:p>
    <w:p w14:paraId="688DD2EF" w14:textId="77777777" w:rsidR="00151C6D" w:rsidRPr="00E34E46" w:rsidRDefault="00151C6D" w:rsidP="002401A9">
      <w:pPr>
        <w:pStyle w:val="ListParagraph"/>
        <w:numPr>
          <w:ilvl w:val="0"/>
          <w:numId w:val="15"/>
        </w:numPr>
        <w:ind w:hanging="720"/>
        <w:rPr>
          <w:rStyle w:val="eop"/>
        </w:rPr>
      </w:pPr>
      <w:proofErr w:type="gramStart"/>
      <w:r w:rsidRPr="00E34E46">
        <w:rPr>
          <w:rStyle w:val="eop"/>
        </w:rPr>
        <w:t>faire</w:t>
      </w:r>
      <w:proofErr w:type="gramEnd"/>
      <w:r w:rsidRPr="00E34E46">
        <w:rPr>
          <w:rStyle w:val="eop"/>
        </w:rPr>
        <w:t xml:space="preserve"> en sorte que les personnes en situation de handicap soient indiquées comme des utilisateurs finaux équivalant aux autres groupes d’utilisateurs;</w:t>
      </w:r>
    </w:p>
    <w:p w14:paraId="431A67A1" w14:textId="6A190E0E" w:rsidR="00FE1A50" w:rsidRPr="00E34E46" w:rsidRDefault="00FE1A50" w:rsidP="002401A9">
      <w:pPr>
        <w:pStyle w:val="ListParagraph"/>
        <w:numPr>
          <w:ilvl w:val="0"/>
          <w:numId w:val="15"/>
        </w:numPr>
        <w:ind w:hanging="720"/>
      </w:pPr>
      <w:proofErr w:type="gramStart"/>
      <w:r w:rsidRPr="00E34E46">
        <w:t>intégrer</w:t>
      </w:r>
      <w:proofErr w:type="gramEnd"/>
      <w:r w:rsidRPr="00E34E46">
        <w:t xml:space="preserve"> l’embauche de personnes en situation de handicap dans la structure de demandes de propositions.</w:t>
      </w:r>
    </w:p>
    <w:p w14:paraId="23E2005B" w14:textId="77777777" w:rsidR="00151C6D" w:rsidRPr="00E34E46" w:rsidRDefault="00151C6D" w:rsidP="00B56537">
      <w:pPr>
        <w:pStyle w:val="Heading4"/>
      </w:pPr>
      <w:bookmarkStart w:id="95" w:name="_Toc168722525"/>
      <w:bookmarkStart w:id="96" w:name="_Toc210828521"/>
      <w:r w:rsidRPr="00E34E46">
        <w:rPr>
          <w:rStyle w:val="normaltextrun"/>
        </w:rPr>
        <w:t xml:space="preserve">D2. S’assurer que le processus d’approvisionnement </w:t>
      </w:r>
      <w:bookmarkEnd w:id="95"/>
      <w:r w:rsidRPr="00E34E46">
        <w:rPr>
          <w:rStyle w:val="normaltextrun"/>
        </w:rPr>
        <w:t>et ses résultats sont accessibles</w:t>
      </w:r>
      <w:bookmarkEnd w:id="96"/>
    </w:p>
    <w:p w14:paraId="30345B42" w14:textId="50D20B88" w:rsidR="00151C6D" w:rsidRPr="00E34E46" w:rsidRDefault="00151C6D" w:rsidP="007350AC">
      <w:pPr>
        <w:pStyle w:val="paragraph"/>
        <w:spacing w:line="360" w:lineRule="auto"/>
        <w:rPr>
          <w:rStyle w:val="eop"/>
          <w:rFonts w:ascii="Verdana" w:hAnsi="Verdana" w:cs="Arial"/>
          <w:sz w:val="24"/>
        </w:rPr>
      </w:pPr>
      <w:r w:rsidRPr="00E34E46">
        <w:rPr>
          <w:rStyle w:val="normaltextrun"/>
          <w:rFonts w:ascii="Verdana" w:hAnsi="Verdana"/>
          <w:sz w:val="24"/>
          <w:szCs w:val="28"/>
        </w:rPr>
        <w:t>Les organisations devraient envisager l’accessibilité dans leur processus d’approvisionnement en :</w:t>
      </w:r>
    </w:p>
    <w:p w14:paraId="639DAF4B" w14:textId="69B90A20" w:rsidR="00151C6D" w:rsidRPr="00E34E46" w:rsidRDefault="00AA4B4D" w:rsidP="002401A9">
      <w:pPr>
        <w:pStyle w:val="ListParagraph"/>
        <w:numPr>
          <w:ilvl w:val="0"/>
          <w:numId w:val="50"/>
        </w:numPr>
        <w:ind w:hanging="720"/>
        <w:rPr>
          <w:rStyle w:val="eop"/>
        </w:rPr>
      </w:pPr>
      <w:proofErr w:type="gramStart"/>
      <w:r w:rsidRPr="00E34E46">
        <w:rPr>
          <w:rStyle w:val="eop"/>
          <w:szCs w:val="28"/>
        </w:rPr>
        <w:t>simplifiant</w:t>
      </w:r>
      <w:proofErr w:type="gramEnd"/>
      <w:r w:rsidRPr="00E34E46">
        <w:rPr>
          <w:rStyle w:val="eop"/>
          <w:szCs w:val="28"/>
        </w:rPr>
        <w:t xml:space="preserve"> la complexité du processus d’approvisionnement. Il peut s’agir d’estimer le temps et les efforts nécessaires aux fournisseurs en situation de handicap pour se préparer et comprendre leur taux potentiel de réussite (voir la norme ISO 21801-1:2020 – Accessibilité cognitive [ISO, 2020b])</w:t>
      </w:r>
      <w:r w:rsidR="002401A9" w:rsidRPr="00E34E46">
        <w:rPr>
          <w:rStyle w:val="eop"/>
          <w:szCs w:val="28"/>
        </w:rPr>
        <w:t>;</w:t>
      </w:r>
    </w:p>
    <w:p w14:paraId="335AB28E" w14:textId="0DB43280" w:rsidR="00151C6D" w:rsidRPr="00E34E46" w:rsidRDefault="00151C6D" w:rsidP="002401A9">
      <w:pPr>
        <w:pStyle w:val="ListParagraph"/>
        <w:numPr>
          <w:ilvl w:val="0"/>
          <w:numId w:val="50"/>
        </w:numPr>
        <w:ind w:hanging="720"/>
        <w:rPr>
          <w:sz w:val="28"/>
          <w:szCs w:val="28"/>
        </w:rPr>
      </w:pPr>
      <w:proofErr w:type="gramStart"/>
      <w:r w:rsidRPr="00E34E46">
        <w:rPr>
          <w:rStyle w:val="normaltextrun"/>
          <w:szCs w:val="28"/>
        </w:rPr>
        <w:lastRenderedPageBreak/>
        <w:t>établissant</w:t>
      </w:r>
      <w:proofErr w:type="gramEnd"/>
      <w:r w:rsidRPr="00E34E46">
        <w:rPr>
          <w:rStyle w:val="normaltextrun"/>
          <w:szCs w:val="28"/>
        </w:rPr>
        <w:t xml:space="preserve"> des exigences pour les projets d’approvisionnement avec la contribution d’experts en la matière, lesquelles reposent sur l’orientation des mesures législatives et des normes relatives à l’accessibilité comme seuils cibles minimaux;</w:t>
      </w:r>
    </w:p>
    <w:p w14:paraId="3980B10D" w14:textId="0EA88B24" w:rsidR="00151C6D" w:rsidRPr="00E34E46" w:rsidRDefault="00151C6D" w:rsidP="002401A9">
      <w:pPr>
        <w:pStyle w:val="ListParagraph"/>
        <w:numPr>
          <w:ilvl w:val="0"/>
          <w:numId w:val="50"/>
        </w:numPr>
        <w:ind w:hanging="720"/>
        <w:rPr>
          <w:sz w:val="28"/>
          <w:szCs w:val="28"/>
        </w:rPr>
      </w:pPr>
      <w:proofErr w:type="gramStart"/>
      <w:r w:rsidRPr="00E34E46">
        <w:rPr>
          <w:rStyle w:val="normaltextrun"/>
          <w:szCs w:val="28"/>
        </w:rPr>
        <w:t>rédigeant</w:t>
      </w:r>
      <w:proofErr w:type="gramEnd"/>
      <w:r w:rsidRPr="00E34E46">
        <w:rPr>
          <w:rStyle w:val="normaltextrun"/>
          <w:szCs w:val="28"/>
        </w:rPr>
        <w:t xml:space="preserve"> des critères obligatoires par l’utilisation d’un langage simple et d’une communication accessible (voir la norme ISO 24495-1:2023 – Langage clair et simple);</w:t>
      </w:r>
    </w:p>
    <w:p w14:paraId="191513CB" w14:textId="2FA0C77C" w:rsidR="00151C6D" w:rsidRPr="00E34E46" w:rsidRDefault="00151C6D" w:rsidP="00E44F9E">
      <w:pPr>
        <w:pStyle w:val="ListParagraph"/>
        <w:numPr>
          <w:ilvl w:val="0"/>
          <w:numId w:val="50"/>
        </w:numPr>
        <w:rPr>
          <w:rStyle w:val="eop"/>
        </w:rPr>
      </w:pPr>
      <w:proofErr w:type="gramStart"/>
      <w:r w:rsidRPr="00E34E46">
        <w:rPr>
          <w:rStyle w:val="normaltextrun"/>
          <w:szCs w:val="28"/>
        </w:rPr>
        <w:t>définissant</w:t>
      </w:r>
      <w:proofErr w:type="gramEnd"/>
      <w:r w:rsidRPr="00E34E46">
        <w:rPr>
          <w:rStyle w:val="normaltextrun"/>
          <w:szCs w:val="28"/>
        </w:rPr>
        <w:t xml:space="preserve"> clairement les attentes en matière d’accessibilité pour les résultats des processus d’approvisionnement</w:t>
      </w:r>
      <w:r w:rsidR="007350AC" w:rsidRPr="00E34E46">
        <w:rPr>
          <w:rStyle w:val="normaltextrun"/>
          <w:szCs w:val="28"/>
        </w:rPr>
        <w:t>;</w:t>
      </w:r>
    </w:p>
    <w:p w14:paraId="58A524F1" w14:textId="79F444F8" w:rsidR="00151C6D" w:rsidRPr="00E34E46" w:rsidRDefault="00151C6D" w:rsidP="00E44F9E">
      <w:pPr>
        <w:pStyle w:val="ListParagraph"/>
        <w:numPr>
          <w:ilvl w:val="0"/>
          <w:numId w:val="50"/>
        </w:numPr>
        <w:rPr>
          <w:rStyle w:val="normaltextrun"/>
        </w:rPr>
      </w:pPr>
      <w:proofErr w:type="gramStart"/>
      <w:r w:rsidRPr="00E34E46">
        <w:rPr>
          <w:rStyle w:val="normaltextrun"/>
          <w:szCs w:val="28"/>
        </w:rPr>
        <w:t>prenant</w:t>
      </w:r>
      <w:proofErr w:type="gramEnd"/>
      <w:r w:rsidRPr="00E34E46">
        <w:rPr>
          <w:rStyle w:val="normaltextrun"/>
          <w:szCs w:val="28"/>
        </w:rPr>
        <w:t xml:space="preserve"> en compte les répercussions de l’approvisionnement sur des groupes d’utilisateurs issus de la diversité, y compris la capacité des employés, les perturbations des environnements de travail et les effets d’une certaine lassitude liée aux changements, le cas échéant;</w:t>
      </w:r>
    </w:p>
    <w:p w14:paraId="5287155B" w14:textId="6C7F82F4" w:rsidR="00151C6D" w:rsidRPr="00E34E46" w:rsidRDefault="00151C6D" w:rsidP="00E44F9E">
      <w:pPr>
        <w:pStyle w:val="ListParagraph"/>
        <w:numPr>
          <w:ilvl w:val="0"/>
          <w:numId w:val="50"/>
        </w:numPr>
        <w:rPr>
          <w:rStyle w:val="eop"/>
        </w:rPr>
      </w:pPr>
      <w:proofErr w:type="gramStart"/>
      <w:r w:rsidRPr="00E34E46">
        <w:rPr>
          <w:rStyle w:val="normaltextrun"/>
          <w:szCs w:val="28"/>
        </w:rPr>
        <w:t>consultant</w:t>
      </w:r>
      <w:proofErr w:type="gramEnd"/>
      <w:r w:rsidRPr="00E34E46">
        <w:rPr>
          <w:rStyle w:val="normaltextrun"/>
          <w:szCs w:val="28"/>
        </w:rPr>
        <w:t xml:space="preserve"> leur direction responsable de l’accessibilité dès les premières étapes de l’approvisionnement afin d’orienter l’évaluation des risques et l’établissement des références pour les critères et les exigences obligatoires;</w:t>
      </w:r>
    </w:p>
    <w:p w14:paraId="234B1BCD" w14:textId="243065A3" w:rsidR="00151C6D" w:rsidRPr="00E34E46" w:rsidRDefault="00151C6D" w:rsidP="00E44F9E">
      <w:pPr>
        <w:pStyle w:val="ListParagraph"/>
        <w:numPr>
          <w:ilvl w:val="0"/>
          <w:numId w:val="50"/>
        </w:numPr>
        <w:rPr>
          <w:rStyle w:val="eop"/>
          <w:sz w:val="22"/>
          <w:szCs w:val="22"/>
        </w:rPr>
      </w:pPr>
      <w:proofErr w:type="gramStart"/>
      <w:r w:rsidRPr="00E34E46">
        <w:rPr>
          <w:rStyle w:val="normaltextrun"/>
          <w:szCs w:val="28"/>
        </w:rPr>
        <w:lastRenderedPageBreak/>
        <w:t>élaborant</w:t>
      </w:r>
      <w:proofErr w:type="gramEnd"/>
      <w:r w:rsidRPr="00E34E46">
        <w:rPr>
          <w:rStyle w:val="normaltextrun"/>
          <w:szCs w:val="28"/>
        </w:rPr>
        <w:t xml:space="preserve"> des plans de travail et des feuilles de route pour les projets d’approvisionnement, intégrant ainsi les besoins et les exigences d’accessibilité dans la planification des résultats.</w:t>
      </w:r>
    </w:p>
    <w:p w14:paraId="137655DA" w14:textId="2CDA2C6E" w:rsidR="00151C6D" w:rsidRPr="00E34E46" w:rsidRDefault="00151C6D" w:rsidP="00B56537">
      <w:pPr>
        <w:pStyle w:val="Heading4"/>
        <w:rPr>
          <w:rStyle w:val="eop"/>
        </w:rPr>
      </w:pPr>
      <w:bookmarkStart w:id="97" w:name="_Toc168722526"/>
      <w:bookmarkStart w:id="98" w:name="_Toc210828522"/>
      <w:r w:rsidRPr="00E34E46">
        <w:rPr>
          <w:rStyle w:val="eop"/>
        </w:rPr>
        <w:t xml:space="preserve">D3. Envisager de préparer une évaluation </w:t>
      </w:r>
      <w:bookmarkEnd w:id="97"/>
      <w:r w:rsidRPr="00E34E46">
        <w:rPr>
          <w:rStyle w:val="eop"/>
        </w:rPr>
        <w:t>des besoins de l’organisation</w:t>
      </w:r>
      <w:bookmarkEnd w:id="98"/>
    </w:p>
    <w:p w14:paraId="3DC83F86" w14:textId="4D9C2EF9" w:rsidR="00151C6D" w:rsidRPr="00E34E46" w:rsidRDefault="00151C6D" w:rsidP="00B56537">
      <w:r w:rsidRPr="00E34E46">
        <w:t>Lors de l’évaluation des besoins organisationnels pour l’approvisionnement accessible, les organisations devraient :</w:t>
      </w:r>
    </w:p>
    <w:p w14:paraId="56359F16" w14:textId="2EF8A374" w:rsidR="00E67728" w:rsidRPr="00E34E46" w:rsidRDefault="00053095" w:rsidP="002401A9">
      <w:pPr>
        <w:pStyle w:val="ListParagraph"/>
        <w:numPr>
          <w:ilvl w:val="0"/>
          <w:numId w:val="58"/>
        </w:numPr>
      </w:pPr>
      <w:proofErr w:type="gramStart"/>
      <w:r w:rsidRPr="00E34E46">
        <w:t>déterminer</w:t>
      </w:r>
      <w:proofErr w:type="gramEnd"/>
      <w:r w:rsidRPr="00E34E46">
        <w:t xml:space="preserve"> toutes les exigences d’accessibilité pertinentes lors de l’évaluation des besoins;</w:t>
      </w:r>
    </w:p>
    <w:p w14:paraId="1155D7BD" w14:textId="7BCD4EE9" w:rsidR="003E691C" w:rsidRPr="00E34E46" w:rsidRDefault="00151C6D" w:rsidP="002401A9">
      <w:pPr>
        <w:pStyle w:val="ListParagraph"/>
        <w:numPr>
          <w:ilvl w:val="0"/>
          <w:numId w:val="58"/>
        </w:numPr>
      </w:pPr>
      <w:proofErr w:type="gramStart"/>
      <w:r w:rsidRPr="00E34E46">
        <w:t>s’assurer</w:t>
      </w:r>
      <w:proofErr w:type="gramEnd"/>
      <w:r w:rsidRPr="00E34E46">
        <w:t xml:space="preserve"> que l’évaluation des besoins d’approvisionnement comprend les documents de planification stratégique et les politiques liés, directement ou indirectement, aux résultats du projet;</w:t>
      </w:r>
    </w:p>
    <w:p w14:paraId="0A61E59A" w14:textId="10789DD3" w:rsidR="003E691C" w:rsidRPr="00E34E46" w:rsidRDefault="00151C6D" w:rsidP="002401A9">
      <w:pPr>
        <w:pStyle w:val="ListParagraph"/>
        <w:numPr>
          <w:ilvl w:val="0"/>
          <w:numId w:val="58"/>
        </w:numPr>
      </w:pPr>
      <w:proofErr w:type="gramStart"/>
      <w:r w:rsidRPr="00E34E46">
        <w:t>construire</w:t>
      </w:r>
      <w:proofErr w:type="gramEnd"/>
      <w:r w:rsidRPr="00E34E46">
        <w:t xml:space="preserve"> l’évaluation des besoins en adoptant une approche centrée sur les personnes, qui prend en compte les besoins des utilisateurs finaux et qui offre :</w:t>
      </w:r>
    </w:p>
    <w:p w14:paraId="5AE78286" w14:textId="28907782" w:rsidR="003E691C" w:rsidRPr="00E34E46" w:rsidRDefault="00151C6D" w:rsidP="002401A9">
      <w:pPr>
        <w:pStyle w:val="ListParagraph"/>
        <w:numPr>
          <w:ilvl w:val="1"/>
          <w:numId w:val="59"/>
        </w:numPr>
      </w:pPr>
      <w:proofErr w:type="gramStart"/>
      <w:r w:rsidRPr="00E34E46">
        <w:t>un</w:t>
      </w:r>
      <w:proofErr w:type="gramEnd"/>
      <w:r w:rsidRPr="00E34E46">
        <w:t xml:space="preserve"> choix et un contrôle;</w:t>
      </w:r>
    </w:p>
    <w:p w14:paraId="1101BBD2" w14:textId="77777777" w:rsidR="003E691C" w:rsidRPr="00E34E46" w:rsidRDefault="00151C6D" w:rsidP="002401A9">
      <w:pPr>
        <w:pStyle w:val="ListParagraph"/>
        <w:numPr>
          <w:ilvl w:val="1"/>
          <w:numId w:val="59"/>
        </w:numPr>
      </w:pPr>
      <w:proofErr w:type="gramStart"/>
      <w:r w:rsidRPr="00E34E46">
        <w:t>une</w:t>
      </w:r>
      <w:proofErr w:type="gramEnd"/>
      <w:r w:rsidRPr="00E34E46">
        <w:t xml:space="preserve"> contribution à la prise de décision;</w:t>
      </w:r>
    </w:p>
    <w:p w14:paraId="13C73B31" w14:textId="1237E3E9" w:rsidR="003E691C" w:rsidRPr="00E34E46" w:rsidRDefault="00151C6D" w:rsidP="002401A9">
      <w:pPr>
        <w:pStyle w:val="ListParagraph"/>
        <w:numPr>
          <w:ilvl w:val="1"/>
          <w:numId w:val="59"/>
        </w:numPr>
      </w:pPr>
      <w:proofErr w:type="gramStart"/>
      <w:r w:rsidRPr="00E34E46">
        <w:lastRenderedPageBreak/>
        <w:t>du</w:t>
      </w:r>
      <w:proofErr w:type="gramEnd"/>
      <w:r w:rsidRPr="00E34E46">
        <w:t xml:space="preserve"> respect;</w:t>
      </w:r>
    </w:p>
    <w:p w14:paraId="35AECA55" w14:textId="7DB110BF" w:rsidR="003E691C" w:rsidRPr="00E34E46" w:rsidRDefault="00151C6D" w:rsidP="002401A9">
      <w:pPr>
        <w:pStyle w:val="ListParagraph"/>
        <w:numPr>
          <w:ilvl w:val="1"/>
          <w:numId w:val="59"/>
        </w:numPr>
      </w:pPr>
      <w:proofErr w:type="gramStart"/>
      <w:r w:rsidRPr="00E34E46">
        <w:t>de</w:t>
      </w:r>
      <w:proofErr w:type="gramEnd"/>
      <w:r w:rsidRPr="00E34E46">
        <w:t xml:space="preserve"> l’empathie;</w:t>
      </w:r>
    </w:p>
    <w:p w14:paraId="4840FA79" w14:textId="7C78CAA4" w:rsidR="00151C6D" w:rsidRPr="00E34E46" w:rsidRDefault="00151C6D" w:rsidP="002401A9">
      <w:pPr>
        <w:pStyle w:val="ListParagraph"/>
        <w:numPr>
          <w:ilvl w:val="1"/>
          <w:numId w:val="59"/>
        </w:numPr>
      </w:pPr>
      <w:proofErr w:type="gramStart"/>
      <w:r w:rsidRPr="00E34E46">
        <w:t>la</w:t>
      </w:r>
      <w:proofErr w:type="gramEnd"/>
      <w:r w:rsidRPr="00E34E46">
        <w:t xml:space="preserve"> reconnaissance de la diversité individuelle liée à l’autonomisation et au renforcement des capacités.</w:t>
      </w:r>
    </w:p>
    <w:p w14:paraId="7FD5C853" w14:textId="14014CFE" w:rsidR="00151C6D" w:rsidRPr="00E34E46" w:rsidRDefault="00151C6D" w:rsidP="00B56537">
      <w:pPr>
        <w:pStyle w:val="Heading4"/>
      </w:pPr>
      <w:bookmarkStart w:id="99" w:name="_Toc168722527"/>
      <w:bookmarkStart w:id="100" w:name="_Toc210828523"/>
      <w:r w:rsidRPr="00E34E46">
        <w:rPr>
          <w:rStyle w:val="normaltextrun"/>
        </w:rPr>
        <w:t>D4. Intégrer l’accessibilité dans les critères d’approvisionnement et dans les budgets des projets d’approvisionnement de l’organisation</w:t>
      </w:r>
      <w:bookmarkEnd w:id="99"/>
      <w:bookmarkEnd w:id="100"/>
    </w:p>
    <w:p w14:paraId="47730639" w14:textId="54486D37" w:rsidR="00151C6D" w:rsidRPr="00E34E46" w:rsidRDefault="00151C6D" w:rsidP="00D57662">
      <w:pPr>
        <w:rPr>
          <w:rStyle w:val="eop"/>
        </w:rPr>
      </w:pPr>
      <w:r w:rsidRPr="00E34E46">
        <w:rPr>
          <w:rStyle w:val="normaltextrun"/>
          <w:szCs w:val="28"/>
        </w:rPr>
        <w:t>Les organisations devraient faire en sorte que l’accessibilité soit prise en compte dans le processus budgétaire, favorisant ainsi l’attribution de ressources inclusives et équitables, en :</w:t>
      </w:r>
    </w:p>
    <w:p w14:paraId="4CD04353" w14:textId="274B57EC" w:rsidR="009C687A" w:rsidRPr="00E34E46" w:rsidRDefault="009C687A" w:rsidP="002401A9">
      <w:pPr>
        <w:pStyle w:val="ListParagraph"/>
        <w:numPr>
          <w:ilvl w:val="0"/>
          <w:numId w:val="51"/>
        </w:numPr>
        <w:ind w:left="720" w:hanging="720"/>
        <w:rPr>
          <w:rStyle w:val="eop"/>
        </w:rPr>
      </w:pPr>
      <w:proofErr w:type="gramStart"/>
      <w:r w:rsidRPr="00E34E46">
        <w:rPr>
          <w:rStyle w:val="normaltextrun"/>
          <w:szCs w:val="28"/>
        </w:rPr>
        <w:t>octroyant</w:t>
      </w:r>
      <w:proofErr w:type="gramEnd"/>
      <w:r w:rsidRPr="00E34E46">
        <w:rPr>
          <w:rStyle w:val="normaltextrun"/>
          <w:szCs w:val="28"/>
        </w:rPr>
        <w:t xml:space="preserve"> un nombre fixe de ressources pour l’accessibilité dans les budgets et la planification budgétaire;</w:t>
      </w:r>
    </w:p>
    <w:p w14:paraId="4D976633" w14:textId="0414E84F" w:rsidR="00151C6D" w:rsidRPr="00E34E46" w:rsidRDefault="00151C6D" w:rsidP="002401A9">
      <w:pPr>
        <w:pStyle w:val="ListParagraph"/>
        <w:numPr>
          <w:ilvl w:val="0"/>
          <w:numId w:val="51"/>
        </w:numPr>
        <w:ind w:left="720" w:hanging="720"/>
      </w:pPr>
      <w:proofErr w:type="gramStart"/>
      <w:r w:rsidRPr="00E34E46">
        <w:rPr>
          <w:rStyle w:val="normaltextrun"/>
          <w:szCs w:val="28"/>
        </w:rPr>
        <w:t>s’assurant</w:t>
      </w:r>
      <w:proofErr w:type="gramEnd"/>
      <w:r w:rsidRPr="00E34E46">
        <w:rPr>
          <w:rStyle w:val="normaltextrun"/>
          <w:szCs w:val="28"/>
        </w:rPr>
        <w:t xml:space="preserve"> que le coût estimé de l’achat de biens, de produits et de services comprend les facteurs d’accessibilité déterminés, à prendre en compte dans le processus de définition des exigences</w:t>
      </w:r>
      <w:r w:rsidR="002401A9" w:rsidRPr="00E34E46">
        <w:rPr>
          <w:rStyle w:val="normaltextrun"/>
          <w:szCs w:val="28"/>
        </w:rPr>
        <w:t>.</w:t>
      </w:r>
    </w:p>
    <w:p w14:paraId="684CD6C2" w14:textId="6EFFFBD3" w:rsidR="00BE3842" w:rsidRPr="00E34E46" w:rsidRDefault="00BE3842" w:rsidP="00B56537">
      <w:pPr>
        <w:pStyle w:val="Heading4"/>
        <w:rPr>
          <w:rStyle w:val="normaltextrun"/>
        </w:rPr>
      </w:pPr>
      <w:bookmarkStart w:id="101" w:name="_Toc210828524"/>
      <w:r w:rsidRPr="00E34E46">
        <w:rPr>
          <w:rStyle w:val="normaltextrun"/>
        </w:rPr>
        <w:lastRenderedPageBreak/>
        <w:t>D5. Rendre les appels d’offres accessibles</w:t>
      </w:r>
      <w:bookmarkEnd w:id="101"/>
    </w:p>
    <w:p w14:paraId="66D7B747" w14:textId="7E1A5195" w:rsidR="00BE3842" w:rsidRPr="00E34E46" w:rsidRDefault="00BE3842" w:rsidP="00B56537">
      <w:pPr>
        <w:rPr>
          <w:rStyle w:val="eop"/>
        </w:rPr>
      </w:pPr>
      <w:r w:rsidRPr="00E34E46">
        <w:rPr>
          <w:rStyle w:val="eop"/>
        </w:rPr>
        <w:t>Un appel d’offres est une proposition écrite pour la fourniture de biens, l’exécution de travaux de construction ou la prestation de services selon des conditions données, généralement à un prix indiqué. Il peut être accepté et transformé en un contrat obligatoire (norme ISO 10845-1:2020, article 3.38). Pour qu’un appel d’offres soit accessible, les organisations doivent prendre en compte les éléments suivants dans le cadre de l’approvisionnement accessible</w:t>
      </w:r>
      <w:r w:rsidR="007350AC" w:rsidRPr="00E34E46">
        <w:rPr>
          <w:rStyle w:val="eop"/>
        </w:rPr>
        <w:t> :</w:t>
      </w:r>
    </w:p>
    <w:p w14:paraId="652F492F" w14:textId="27D5B98A" w:rsidR="00686DF2" w:rsidRPr="00E34E46" w:rsidRDefault="00686DF2" w:rsidP="002401A9">
      <w:pPr>
        <w:pStyle w:val="ListParagraph"/>
        <w:numPr>
          <w:ilvl w:val="0"/>
          <w:numId w:val="52"/>
        </w:numPr>
        <w:ind w:hanging="720"/>
        <w:rPr>
          <w:rFonts w:eastAsia="Times New Roman"/>
        </w:rPr>
      </w:pPr>
      <w:proofErr w:type="gramStart"/>
      <w:r w:rsidRPr="00E34E46">
        <w:t>faire</w:t>
      </w:r>
      <w:proofErr w:type="gramEnd"/>
      <w:r w:rsidRPr="00E34E46">
        <w:t xml:space="preserve"> en sorte que l’accessibilité du processus d’appel d’offres soit utilisable équitablement par les utilisateurs des technologies d’assistance et les personnes en situation de handicap, avec la même facilité d’utilisation et d’effort que pour les personnes sans handicap;</w:t>
      </w:r>
    </w:p>
    <w:p w14:paraId="278143A4" w14:textId="2BF94398" w:rsidR="000C18EC" w:rsidRPr="00E34E46" w:rsidRDefault="000105FD" w:rsidP="002401A9">
      <w:pPr>
        <w:pStyle w:val="ListParagraph"/>
        <w:numPr>
          <w:ilvl w:val="0"/>
          <w:numId w:val="52"/>
        </w:numPr>
        <w:ind w:hanging="720"/>
        <w:rPr>
          <w:rFonts w:eastAsia="Times New Roman"/>
        </w:rPr>
      </w:pPr>
      <w:proofErr w:type="gramStart"/>
      <w:r w:rsidRPr="00E34E46">
        <w:t>intégrer</w:t>
      </w:r>
      <w:proofErr w:type="gramEnd"/>
      <w:r w:rsidRPr="00E34E46">
        <w:t xml:space="preserve"> les documents accessibles dans les critères obligatoires pour toutes les soumissions reçues;</w:t>
      </w:r>
    </w:p>
    <w:p w14:paraId="70A24A8C" w14:textId="6F16C61E" w:rsidR="000C18EC" w:rsidRPr="00E34E46" w:rsidRDefault="00972EFC" w:rsidP="002401A9">
      <w:pPr>
        <w:pStyle w:val="ListParagraph"/>
        <w:numPr>
          <w:ilvl w:val="0"/>
          <w:numId w:val="52"/>
        </w:numPr>
        <w:ind w:hanging="720"/>
        <w:rPr>
          <w:rFonts w:eastAsia="Times New Roman"/>
        </w:rPr>
      </w:pPr>
      <w:proofErr w:type="gramStart"/>
      <w:r w:rsidRPr="00E34E46">
        <w:t>intégrer</w:t>
      </w:r>
      <w:proofErr w:type="gramEnd"/>
      <w:r w:rsidRPr="00E34E46">
        <w:t xml:space="preserve"> dans les attentes des fournisseurs un mécanisme à tous les stades de l’évaluation d’attentes à l’égard des fournisseurs qui fournit une démonstration suffisante des compétences en accessibilité, notamment la conception universelle, les normes d’accessibilité et </w:t>
      </w:r>
      <w:r w:rsidRPr="00E34E46">
        <w:lastRenderedPageBreak/>
        <w:t>l’inclusion des personnes en situation de handicap dans leur organisation et leurs communautés;</w:t>
      </w:r>
    </w:p>
    <w:p w14:paraId="0EA4FC6B" w14:textId="6803DCCE" w:rsidR="00202629" w:rsidRPr="00E34E46" w:rsidRDefault="00202629" w:rsidP="002401A9">
      <w:pPr>
        <w:pStyle w:val="ListParagraph"/>
        <w:numPr>
          <w:ilvl w:val="0"/>
          <w:numId w:val="52"/>
        </w:numPr>
        <w:ind w:hanging="720"/>
        <w:rPr>
          <w:rFonts w:eastAsia="Times New Roman"/>
        </w:rPr>
      </w:pPr>
      <w:proofErr w:type="gramStart"/>
      <w:r w:rsidRPr="00E34E46">
        <w:t>introduire</w:t>
      </w:r>
      <w:proofErr w:type="gramEnd"/>
      <w:r w:rsidRPr="00E34E46">
        <w:t xml:space="preserve"> des membres de l’équipe dans le comité de révision ayant une expérience vécue et une expérience de test afin que l’accessibilité des soumissions soit maintenue et respectée.</w:t>
      </w:r>
    </w:p>
    <w:p w14:paraId="443886E6" w14:textId="7D635F4E" w:rsidR="00151C6D" w:rsidRPr="00E34E46" w:rsidRDefault="00151C6D" w:rsidP="00202629">
      <w:pPr>
        <w:pStyle w:val="Heading4"/>
        <w:rPr>
          <w:rStyle w:val="eop"/>
          <w:rFonts w:cs="Arial"/>
          <w:sz w:val="32"/>
          <w:szCs w:val="32"/>
        </w:rPr>
      </w:pPr>
      <w:bookmarkStart w:id="102" w:name="_Toc210828525"/>
      <w:r w:rsidRPr="00E34E46">
        <w:rPr>
          <w:rStyle w:val="eop"/>
          <w:sz w:val="32"/>
        </w:rPr>
        <w:t>D6. Fournir des critères d’accessibilité dans tous les documents d’appel d’offres</w:t>
      </w:r>
      <w:bookmarkEnd w:id="102"/>
    </w:p>
    <w:p w14:paraId="479BED43" w14:textId="52B8B2DF" w:rsidR="00151C6D" w:rsidRPr="00E34E46" w:rsidRDefault="00151C6D" w:rsidP="00202629">
      <w:pPr>
        <w:rPr>
          <w:sz w:val="28"/>
          <w:szCs w:val="28"/>
        </w:rPr>
      </w:pPr>
      <w:r w:rsidRPr="00E34E46">
        <w:rPr>
          <w:rStyle w:val="eop"/>
          <w:szCs w:val="28"/>
        </w:rPr>
        <w:t>Pour que les exigences d’accessibilité soient intégrées dès les étapes de planification du processus d’approvisionnement, les organisations devraient :</w:t>
      </w:r>
    </w:p>
    <w:p w14:paraId="2E125040" w14:textId="12B2E4AA" w:rsidR="00AA4FC3" w:rsidRPr="00E34E46" w:rsidRDefault="00AA4FC3" w:rsidP="002401A9">
      <w:pPr>
        <w:pStyle w:val="ListParagraph"/>
        <w:numPr>
          <w:ilvl w:val="0"/>
          <w:numId w:val="53"/>
        </w:numPr>
        <w:ind w:left="720" w:hanging="720"/>
        <w:rPr>
          <w:rStyle w:val="normaltextrun"/>
        </w:rPr>
      </w:pPr>
      <w:proofErr w:type="gramStart"/>
      <w:r w:rsidRPr="00E34E46">
        <w:rPr>
          <w:rStyle w:val="normaltextrun"/>
          <w:szCs w:val="28"/>
        </w:rPr>
        <w:t>s’assurer</w:t>
      </w:r>
      <w:proofErr w:type="gramEnd"/>
      <w:r w:rsidRPr="00E34E46">
        <w:rPr>
          <w:rStyle w:val="normaltextrun"/>
          <w:szCs w:val="28"/>
        </w:rPr>
        <w:t xml:space="preserve"> que les critères ou les exigences d’accessibilité obligatoires dans les demandes de renseignements, les demandes de propositions et les demandes de prix sont examinés, consultés ou recommandés par les membres du personnel qui connaissent bien les nuances et les répercussions des exigences d’accessibilité propres au projet d’approvisionnement qui est entrepris;</w:t>
      </w:r>
    </w:p>
    <w:p w14:paraId="60ECD47E" w14:textId="2C8F472C" w:rsidR="009B5DE9" w:rsidRPr="00E34E46" w:rsidRDefault="009B5DE9" w:rsidP="002401A9">
      <w:pPr>
        <w:pStyle w:val="ListParagraph"/>
        <w:numPr>
          <w:ilvl w:val="0"/>
          <w:numId w:val="53"/>
        </w:numPr>
        <w:ind w:left="720" w:hanging="720"/>
        <w:rPr>
          <w:rStyle w:val="normaltextrun"/>
        </w:rPr>
      </w:pPr>
      <w:proofErr w:type="gramStart"/>
      <w:r w:rsidRPr="00E34E46">
        <w:rPr>
          <w:rStyle w:val="normaltextrun"/>
          <w:szCs w:val="28"/>
        </w:rPr>
        <w:lastRenderedPageBreak/>
        <w:t>vérifier</w:t>
      </w:r>
      <w:proofErr w:type="gramEnd"/>
      <w:r w:rsidRPr="00E34E46">
        <w:rPr>
          <w:rStyle w:val="normaltextrun"/>
          <w:szCs w:val="28"/>
        </w:rPr>
        <w:t xml:space="preserve"> et tester les documents créés dans le cadre de l’écosystème des appels d’offres pour s’assurer qu’ils sont accessibles avant leur diffusion dans le domaine public en y incluant des techniques de validation manuelles et automatisées;</w:t>
      </w:r>
    </w:p>
    <w:p w14:paraId="734179BC" w14:textId="7FE6C6E7" w:rsidR="00335C86" w:rsidRPr="00E34E46" w:rsidRDefault="00335C86" w:rsidP="002401A9">
      <w:pPr>
        <w:pStyle w:val="ListParagraph"/>
        <w:numPr>
          <w:ilvl w:val="0"/>
          <w:numId w:val="53"/>
        </w:numPr>
        <w:ind w:left="720" w:hanging="720"/>
        <w:rPr>
          <w:rStyle w:val="normaltextrun"/>
        </w:rPr>
      </w:pPr>
      <w:proofErr w:type="gramStart"/>
      <w:r w:rsidRPr="00E34E46">
        <w:rPr>
          <w:rStyle w:val="normaltextrun"/>
          <w:szCs w:val="28"/>
        </w:rPr>
        <w:t>veiller</w:t>
      </w:r>
      <w:proofErr w:type="gramEnd"/>
      <w:r w:rsidRPr="00E34E46">
        <w:rPr>
          <w:rStyle w:val="normaltextrun"/>
          <w:szCs w:val="28"/>
        </w:rPr>
        <w:t xml:space="preserve"> à ce que seuls des documents accessibles soient acceptés dans le cadre de la soumission de l’offre. Il s’agit d’un critère obligatoire applicable à tous les fournisseurs potentiels;</w:t>
      </w:r>
    </w:p>
    <w:p w14:paraId="1EA36488" w14:textId="53699A5B" w:rsidR="009B5DE9" w:rsidRPr="00E34E46" w:rsidRDefault="009B5DE9" w:rsidP="002401A9">
      <w:pPr>
        <w:pStyle w:val="ListParagraph"/>
        <w:numPr>
          <w:ilvl w:val="0"/>
          <w:numId w:val="53"/>
        </w:numPr>
        <w:ind w:left="720" w:hanging="720"/>
        <w:rPr>
          <w:sz w:val="22"/>
          <w:szCs w:val="22"/>
        </w:rPr>
      </w:pPr>
      <w:proofErr w:type="gramStart"/>
      <w:r w:rsidRPr="00E34E46">
        <w:rPr>
          <w:rStyle w:val="normaltextrun"/>
          <w:szCs w:val="28"/>
        </w:rPr>
        <w:t>indiquer</w:t>
      </w:r>
      <w:proofErr w:type="gramEnd"/>
      <w:r w:rsidRPr="00E34E46">
        <w:rPr>
          <w:rStyle w:val="normaltextrun"/>
          <w:szCs w:val="28"/>
        </w:rPr>
        <w:t xml:space="preserve"> clairement que l’ensemble des critères obligatoires relatifs à l’accessibilité figurent dans les documents de la soumission, comme les demandes de renseignements, les demandes de propositions, les demandes de prix, etc.</w:t>
      </w:r>
    </w:p>
    <w:p w14:paraId="5C7E2D00" w14:textId="591FDACB" w:rsidR="00C204FB" w:rsidRPr="00E34E46" w:rsidRDefault="00C204FB" w:rsidP="00B56537">
      <w:pPr>
        <w:pStyle w:val="Heading4"/>
        <w:rPr>
          <w:sz w:val="18"/>
          <w:szCs w:val="18"/>
        </w:rPr>
      </w:pPr>
      <w:bookmarkStart w:id="103" w:name="_Toc168722530"/>
      <w:bookmarkStart w:id="104" w:name="_Toc210828526"/>
      <w:r w:rsidRPr="00E34E46">
        <w:rPr>
          <w:rStyle w:val="normaltextrun"/>
        </w:rPr>
        <w:t>D7. Intégrer l’accessibilité dans la grille de notation et les critères d’évaluation des soumissions</w:t>
      </w:r>
      <w:bookmarkEnd w:id="103"/>
      <w:bookmarkEnd w:id="104"/>
    </w:p>
    <w:p w14:paraId="6F91439F" w14:textId="5A5B04F8" w:rsidR="00C204FB" w:rsidRPr="00E34E46" w:rsidRDefault="00C204FB" w:rsidP="00B81924">
      <w:pPr>
        <w:rPr>
          <w:sz w:val="28"/>
          <w:szCs w:val="28"/>
        </w:rPr>
      </w:pPr>
      <w:r w:rsidRPr="00E34E46">
        <w:rPr>
          <w:rStyle w:val="normaltextrun"/>
          <w:szCs w:val="28"/>
        </w:rPr>
        <w:t>Les organisations devraient définir l’évaluation et les grilles de notation d’exigences et de projets d’approvisionnement précis. </w:t>
      </w:r>
      <w:r w:rsidRPr="00E34E46">
        <w:rPr>
          <w:rStyle w:val="eop"/>
          <w:szCs w:val="28"/>
        </w:rPr>
        <w:t> Pour ce faire, l’organisation devrait :</w:t>
      </w:r>
    </w:p>
    <w:p w14:paraId="32DC16CF" w14:textId="3E8CEB50" w:rsidR="00C204FB" w:rsidRPr="00E34E46" w:rsidRDefault="00C204FB" w:rsidP="002401A9">
      <w:pPr>
        <w:pStyle w:val="ListParagraph"/>
        <w:numPr>
          <w:ilvl w:val="0"/>
          <w:numId w:val="54"/>
        </w:numPr>
        <w:ind w:left="720" w:hanging="720"/>
      </w:pPr>
      <w:proofErr w:type="gramStart"/>
      <w:r w:rsidRPr="00E34E46">
        <w:rPr>
          <w:rStyle w:val="normaltextrun"/>
        </w:rPr>
        <w:lastRenderedPageBreak/>
        <w:t>inclure</w:t>
      </w:r>
      <w:proofErr w:type="gramEnd"/>
      <w:r w:rsidRPr="00E34E46">
        <w:rPr>
          <w:rStyle w:val="normaltextrun"/>
        </w:rPr>
        <w:t xml:space="preserve"> les critères d’évaluation, les exigences en matière d’accessibilité et le seuil minimal d’acceptation pour une présélection, dans la demande de renseignements (DDR), la demande de prix (DDP), la demande de proposition (DP) ou l’appel d’offres;</w:t>
      </w:r>
    </w:p>
    <w:p w14:paraId="4063DA57" w14:textId="639B5C52" w:rsidR="00C204FB" w:rsidRPr="00E34E46" w:rsidRDefault="00651E23" w:rsidP="002401A9">
      <w:pPr>
        <w:pStyle w:val="ListParagraph"/>
        <w:numPr>
          <w:ilvl w:val="0"/>
          <w:numId w:val="54"/>
        </w:numPr>
        <w:ind w:left="720" w:hanging="720"/>
      </w:pPr>
      <w:proofErr w:type="gramStart"/>
      <w:r w:rsidRPr="00E34E46">
        <w:rPr>
          <w:rStyle w:val="normaltextrun"/>
        </w:rPr>
        <w:t>élaborer</w:t>
      </w:r>
      <w:proofErr w:type="gramEnd"/>
      <w:r w:rsidRPr="00E34E46">
        <w:rPr>
          <w:rStyle w:val="normaltextrun"/>
        </w:rPr>
        <w:t xml:space="preserve"> des indicateurs de rendement clés (IRC) et autres indicateurs pour mesurer les progrès réalisés dans l’amélioration de l’accessibilité, tout au long du projet d’approvisionnement et du cycle de vie du projet (voir des exemples aux annexes C et D).</w:t>
      </w:r>
    </w:p>
    <w:p w14:paraId="0C8B65E6" w14:textId="186995DC" w:rsidR="00151C6D" w:rsidRPr="00E34E46" w:rsidRDefault="00151C6D" w:rsidP="00B56537">
      <w:pPr>
        <w:pStyle w:val="Heading4"/>
        <w:rPr>
          <w:rStyle w:val="eop"/>
          <w:rFonts w:cs="Arial"/>
        </w:rPr>
      </w:pPr>
      <w:bookmarkStart w:id="105" w:name="_Toc210828527"/>
      <w:r w:rsidRPr="00E34E46">
        <w:rPr>
          <w:rStyle w:val="normaltextrun"/>
        </w:rPr>
        <w:t>D8. Offrir des délais et des calendriers souples en tant que soutien à l’accessibilité pour les fournisseurs ayant des besoins variés.</w:t>
      </w:r>
      <w:bookmarkEnd w:id="105"/>
    </w:p>
    <w:p w14:paraId="5AD0E5B2" w14:textId="3F2C209F" w:rsidR="00151C6D" w:rsidRPr="00E34E46" w:rsidRDefault="000A310A" w:rsidP="00B56537">
      <w:r w:rsidRPr="00E34E46">
        <w:t xml:space="preserve">La flexibilité est un principe fondamental de la conception universelle (CEUD, 2024). En ajoutant de la flexibilité aux principaux domaines de l’approvisionnement accessible, les personnes en situation de handicap sont plus enclines à participer et seront moins touchées par les principes normatifs d’équité qui peuvent servir à justifier l’égalité des chances comme </w:t>
      </w:r>
      <w:r w:rsidRPr="00E34E46">
        <w:lastRenderedPageBreak/>
        <w:t>obstacle potentiel pour les personnes en situation de handicap. Or, les organisations devraient :</w:t>
      </w:r>
    </w:p>
    <w:p w14:paraId="1B08BFE6" w14:textId="724B5B41" w:rsidR="00151C6D" w:rsidRPr="00E34E46" w:rsidRDefault="00D22CD3" w:rsidP="002401A9">
      <w:pPr>
        <w:pStyle w:val="ListParagraph"/>
        <w:numPr>
          <w:ilvl w:val="0"/>
          <w:numId w:val="16"/>
        </w:numPr>
        <w:ind w:hanging="720"/>
      </w:pPr>
      <w:proofErr w:type="gramStart"/>
      <w:r w:rsidRPr="00E34E46">
        <w:rPr>
          <w:rStyle w:val="normaltextrun"/>
        </w:rPr>
        <w:t>permettre</w:t>
      </w:r>
      <w:proofErr w:type="gramEnd"/>
      <w:r w:rsidRPr="00E34E46">
        <w:rPr>
          <w:rStyle w:val="normaltextrun"/>
        </w:rPr>
        <w:t xml:space="preserve"> des délais souples tout au long du processus d’acquisition des DP et proposer un calendrier pour la finalisation des soumissions afin de mettre en place des mesures soutenant l’accessibilité et d’éliminer tout obstacle soulevé entravant l’accessibilité, si une solution n’est pas déterminée immédiatement;</w:t>
      </w:r>
    </w:p>
    <w:p w14:paraId="39B6930D" w14:textId="1AEC5552" w:rsidR="00151C6D" w:rsidRPr="00E34E46" w:rsidRDefault="00151C6D" w:rsidP="002401A9">
      <w:pPr>
        <w:pStyle w:val="ListParagraph"/>
        <w:numPr>
          <w:ilvl w:val="0"/>
          <w:numId w:val="16"/>
        </w:numPr>
        <w:ind w:hanging="720"/>
      </w:pPr>
      <w:proofErr w:type="gramStart"/>
      <w:r w:rsidRPr="00E34E46">
        <w:rPr>
          <w:rStyle w:val="normaltextrun"/>
        </w:rPr>
        <w:t>offrir</w:t>
      </w:r>
      <w:proofErr w:type="gramEnd"/>
      <w:r w:rsidRPr="00E34E46">
        <w:rPr>
          <w:rStyle w:val="normaltextrun"/>
        </w:rPr>
        <w:t>, en tant que solution d’accessibilité, une souplesse dans la soumission des documents, de la recherche et des rapports sous différents formats, pour un fournisseur potentiel ou une personne en situation de handicap qui tente de participer au processus. Il peut s’agir de documents Word, d’une soumission déposée par un autre système si la plateforme n’est pas accessible ou d’autres solutions pertinentes.</w:t>
      </w:r>
    </w:p>
    <w:p w14:paraId="00D6B92D" w14:textId="278D2183" w:rsidR="00F054F2" w:rsidRPr="00E34E46" w:rsidRDefault="00F054F2" w:rsidP="00B56537">
      <w:pPr>
        <w:pStyle w:val="Heading4"/>
        <w:rPr>
          <w:rStyle w:val="eop"/>
          <w:rFonts w:cs="Arial"/>
        </w:rPr>
      </w:pPr>
      <w:bookmarkStart w:id="106" w:name="_Toc210828528"/>
      <w:bookmarkStart w:id="107" w:name="_Toc168722529"/>
      <w:r w:rsidRPr="00E34E46">
        <w:rPr>
          <w:rStyle w:val="normaltextrun"/>
        </w:rPr>
        <w:lastRenderedPageBreak/>
        <w:t>D9. Garantir aux fournisseurs des processus d’inscription en ligne accessibles et conviviaux</w:t>
      </w:r>
      <w:bookmarkEnd w:id="106"/>
    </w:p>
    <w:p w14:paraId="488AA7F2" w14:textId="6FFE083D" w:rsidR="00F054F2" w:rsidRPr="00E34E46" w:rsidRDefault="00F054F2" w:rsidP="00B56537">
      <w:r w:rsidRPr="00E34E46">
        <w:t>Alors que les organisations modernisent leurs processus d’inscription pour les fournisseurs, comme la transition d’un processus papier à un portail en ligne, les principes de conception universelle visent quant à eux une conception adaptée à la plus vaste gamme possible d’utilisateurs, à la diversité des humains et aux capacités. Voici ce que devraient donc faire les organisations et les autres entités :</w:t>
      </w:r>
    </w:p>
    <w:p w14:paraId="34688F5E" w14:textId="7791F14B" w:rsidR="00F054F2" w:rsidRPr="00E34E46" w:rsidRDefault="00F054F2" w:rsidP="002401A9">
      <w:pPr>
        <w:pStyle w:val="ListParagraph"/>
        <w:numPr>
          <w:ilvl w:val="0"/>
          <w:numId w:val="17"/>
        </w:numPr>
        <w:ind w:hanging="720"/>
        <w:rPr>
          <w:rStyle w:val="normaltextrun"/>
        </w:rPr>
      </w:pPr>
      <w:proofErr w:type="gramStart"/>
      <w:r w:rsidRPr="00E34E46">
        <w:rPr>
          <w:rStyle w:val="normaltextrun"/>
        </w:rPr>
        <w:t>s’assurer</w:t>
      </w:r>
      <w:proofErr w:type="gramEnd"/>
      <w:r w:rsidRPr="00E34E46">
        <w:rPr>
          <w:rStyle w:val="normaltextrun"/>
        </w:rPr>
        <w:t xml:space="preserve"> que tous les processus d’inscription en ligne et les sites Web associés sont accessibles et fonctionnent bien selon les normes d’accessibilité en vigueur dans le territoire en question (voir les Règles pour l’accessibilité des contenus Web et les normes EN 301 549);</w:t>
      </w:r>
    </w:p>
    <w:p w14:paraId="2A50D4FA" w14:textId="496F466E" w:rsidR="00F054F2" w:rsidRPr="00E34E46" w:rsidRDefault="00F054F2" w:rsidP="002401A9">
      <w:pPr>
        <w:pStyle w:val="ListParagraph"/>
        <w:numPr>
          <w:ilvl w:val="0"/>
          <w:numId w:val="17"/>
        </w:numPr>
        <w:ind w:hanging="720"/>
        <w:rPr>
          <w:rStyle w:val="eop"/>
        </w:rPr>
      </w:pPr>
      <w:proofErr w:type="gramStart"/>
      <w:r w:rsidRPr="00E34E46">
        <w:rPr>
          <w:rStyle w:val="normaltextrun"/>
        </w:rPr>
        <w:t>confirmer</w:t>
      </w:r>
      <w:proofErr w:type="gramEnd"/>
      <w:r w:rsidRPr="00E34E46">
        <w:rPr>
          <w:rStyle w:val="normaltextrun"/>
        </w:rPr>
        <w:t xml:space="preserve"> que tout fournisseur potentiel qui utilise une technologie d’assistance a un accès équitable au processus d’inscription. Sinon, il faudra offrir une autre solution, qui facilitera l’accès et l’utilisation, sans toutefois ajouter d’obstacles et sans que les personnes en situation de handicap investissent davantage de temps;</w:t>
      </w:r>
    </w:p>
    <w:p w14:paraId="4A3672BB" w14:textId="5A54CBEF" w:rsidR="00364855" w:rsidRPr="00E34E46" w:rsidRDefault="00364855" w:rsidP="002401A9">
      <w:pPr>
        <w:pStyle w:val="ListParagraph"/>
        <w:numPr>
          <w:ilvl w:val="0"/>
          <w:numId w:val="17"/>
        </w:numPr>
        <w:ind w:hanging="720"/>
        <w:rPr>
          <w:rStyle w:val="eop"/>
        </w:rPr>
      </w:pPr>
      <w:proofErr w:type="gramStart"/>
      <w:r w:rsidRPr="00E34E46">
        <w:rPr>
          <w:rStyle w:val="normaltextrun"/>
        </w:rPr>
        <w:lastRenderedPageBreak/>
        <w:t>élaborer</w:t>
      </w:r>
      <w:proofErr w:type="gramEnd"/>
      <w:r w:rsidRPr="00E34E46">
        <w:rPr>
          <w:rStyle w:val="normaltextrun"/>
        </w:rPr>
        <w:t xml:space="preserve"> une stratégie de communication pour encourager les personnes en situation de handicap et les entreprises dirigées par des personnes en situation de handicap à s’inscrire comme fournisseurs potentiels dans le secteur public :</w:t>
      </w:r>
    </w:p>
    <w:p w14:paraId="188BE755" w14:textId="32A497DC" w:rsidR="00364855" w:rsidRPr="00E34E46" w:rsidRDefault="00364855" w:rsidP="002401A9">
      <w:pPr>
        <w:pStyle w:val="ListParagraph"/>
        <w:numPr>
          <w:ilvl w:val="1"/>
          <w:numId w:val="17"/>
        </w:numPr>
        <w:ind w:hanging="720"/>
      </w:pPr>
      <w:r w:rsidRPr="00E34E46">
        <w:rPr>
          <w:rStyle w:val="normaltextrun"/>
        </w:rPr>
        <w:t>Il faut s’assurer d’utiliser des formats accessibles qui correspondent aux fournisseurs ou aux personnes cherchant de l’information (voir l’article D10 pour en savoir plus sur les divers besoins en communication à prendre en compte);</w:t>
      </w:r>
    </w:p>
    <w:p w14:paraId="7A074DC3" w14:textId="6F629C93" w:rsidR="00F054F2" w:rsidRPr="00E34E46" w:rsidRDefault="00F054F2" w:rsidP="002401A9">
      <w:pPr>
        <w:pStyle w:val="ListParagraph"/>
        <w:numPr>
          <w:ilvl w:val="0"/>
          <w:numId w:val="17"/>
        </w:numPr>
        <w:ind w:hanging="720"/>
      </w:pPr>
      <w:proofErr w:type="gramStart"/>
      <w:r w:rsidRPr="00E34E46">
        <w:rPr>
          <w:rStyle w:val="normaltextrun"/>
        </w:rPr>
        <w:t>s’assurer</w:t>
      </w:r>
      <w:proofErr w:type="gramEnd"/>
      <w:r w:rsidRPr="00E34E46">
        <w:rPr>
          <w:rStyle w:val="normaltextrun"/>
        </w:rPr>
        <w:t xml:space="preserve"> que des formats accessibles sont mis à disposition des candidats et des participants. </w:t>
      </w:r>
      <w:r w:rsidRPr="00E34E46">
        <w:rPr>
          <w:rStyle w:val="eop"/>
        </w:rPr>
        <w:t>Citons notamment des formats de fichiers, du contenu en langage clair et simple, ainsi que des renseignements ou des ressources de soutien technique;</w:t>
      </w:r>
    </w:p>
    <w:p w14:paraId="053F34F8" w14:textId="18DC23EB" w:rsidR="00F054F2" w:rsidRPr="00E34E46" w:rsidRDefault="00F054F2" w:rsidP="002401A9">
      <w:pPr>
        <w:pStyle w:val="ListParagraph"/>
        <w:numPr>
          <w:ilvl w:val="0"/>
          <w:numId w:val="17"/>
        </w:numPr>
        <w:ind w:hanging="720"/>
      </w:pPr>
      <w:proofErr w:type="gramStart"/>
      <w:r w:rsidRPr="00E34E46">
        <w:rPr>
          <w:rStyle w:val="normaltextrun"/>
        </w:rPr>
        <w:t>faire</w:t>
      </w:r>
      <w:proofErr w:type="gramEnd"/>
      <w:r w:rsidRPr="00E34E46">
        <w:rPr>
          <w:rStyle w:val="normaltextrun"/>
        </w:rPr>
        <w:t xml:space="preserve"> en sorte que les méthodes d’authentification utilisées (p. ex., délai pour accomplir une action, correction d’erreurs, authentification à deux facteurs, CAPTCHA accessible) sont accessibles et que leur navigation se fait sans heurt;</w:t>
      </w:r>
    </w:p>
    <w:p w14:paraId="64DFBCC6" w14:textId="42053C3A" w:rsidR="00F054F2" w:rsidRPr="00E34E46" w:rsidRDefault="00F054F2" w:rsidP="002401A9">
      <w:pPr>
        <w:pStyle w:val="ListParagraph"/>
        <w:numPr>
          <w:ilvl w:val="0"/>
          <w:numId w:val="17"/>
        </w:numPr>
        <w:ind w:hanging="720"/>
      </w:pPr>
      <w:proofErr w:type="gramStart"/>
      <w:r w:rsidRPr="00E34E46">
        <w:rPr>
          <w:rStyle w:val="normaltextrun"/>
        </w:rPr>
        <w:t>confirmer</w:t>
      </w:r>
      <w:proofErr w:type="gramEnd"/>
      <w:r w:rsidRPr="00E34E46">
        <w:rPr>
          <w:rStyle w:val="normaltextrun"/>
        </w:rPr>
        <w:t xml:space="preserve"> que les documents et les sites Web sont testés par divers utilisateurs ayant une expérience vécue afin de garantir un accès sans obstacles pendant tout le processus d’inscription;</w:t>
      </w:r>
    </w:p>
    <w:p w14:paraId="6FBFD980" w14:textId="10655751" w:rsidR="00F054F2" w:rsidRPr="00E34E46" w:rsidRDefault="00F054F2" w:rsidP="002401A9">
      <w:pPr>
        <w:pStyle w:val="ListParagraph"/>
        <w:numPr>
          <w:ilvl w:val="0"/>
          <w:numId w:val="17"/>
        </w:numPr>
        <w:ind w:hanging="720"/>
        <w:rPr>
          <w:rStyle w:val="eop"/>
        </w:rPr>
      </w:pPr>
      <w:proofErr w:type="gramStart"/>
      <w:r w:rsidRPr="00E34E46">
        <w:rPr>
          <w:rStyle w:val="normaltextrun"/>
        </w:rPr>
        <w:lastRenderedPageBreak/>
        <w:t>fournir</w:t>
      </w:r>
      <w:proofErr w:type="gramEnd"/>
      <w:r w:rsidRPr="00E34E46">
        <w:rPr>
          <w:rStyle w:val="normaltextrun"/>
        </w:rPr>
        <w:t xml:space="preserve"> aux fournisseurs un mécanisme leur permettant de déclarer leur besoin d’assistance dans le processus d’inscription :  </w:t>
      </w:r>
      <w:r w:rsidRPr="00E34E46">
        <w:rPr>
          <w:rStyle w:val="eop"/>
        </w:rPr>
        <w:t> </w:t>
      </w:r>
    </w:p>
    <w:p w14:paraId="29FEEBAC" w14:textId="5DE44992" w:rsidR="00FA3D93" w:rsidRPr="00E34E46" w:rsidRDefault="00FA3D93" w:rsidP="002401A9">
      <w:pPr>
        <w:pStyle w:val="ListParagraph"/>
        <w:numPr>
          <w:ilvl w:val="1"/>
          <w:numId w:val="17"/>
        </w:numPr>
        <w:ind w:hanging="720"/>
        <w:rPr>
          <w:rStyle w:val="eop"/>
        </w:rPr>
      </w:pPr>
      <w:proofErr w:type="gramStart"/>
      <w:r w:rsidRPr="00E34E46">
        <w:rPr>
          <w:rStyle w:val="eop"/>
        </w:rPr>
        <w:t>s’assurer</w:t>
      </w:r>
      <w:proofErr w:type="gramEnd"/>
      <w:r w:rsidRPr="00E34E46">
        <w:rPr>
          <w:rStyle w:val="eop"/>
        </w:rPr>
        <w:t xml:space="preserve"> qu’une aide humaine directe est offerte aux fournisseurs potentiels ou à toute personne dans le besoin. </w:t>
      </w:r>
      <w:proofErr w:type="gramStart"/>
      <w:r w:rsidRPr="00E34E46">
        <w:rPr>
          <w:rStyle w:val="eop"/>
        </w:rPr>
        <w:t>éviter</w:t>
      </w:r>
      <w:proofErr w:type="gramEnd"/>
      <w:r w:rsidRPr="00E34E46">
        <w:rPr>
          <w:rStyle w:val="eop"/>
        </w:rPr>
        <w:t xml:space="preserve"> de se fier aux foires aux questions génériques ou aux robots conversationnels ; car ces mécanismes répondent rarement aux besoins d’accessibilité;</w:t>
      </w:r>
    </w:p>
    <w:p w14:paraId="2DD6A1C2" w14:textId="19E75157" w:rsidR="006A2BDA" w:rsidRPr="00E34E46" w:rsidRDefault="006A2BDA" w:rsidP="002401A9">
      <w:pPr>
        <w:pStyle w:val="ListParagraph"/>
        <w:numPr>
          <w:ilvl w:val="1"/>
          <w:numId w:val="17"/>
        </w:numPr>
        <w:ind w:hanging="720"/>
        <w:rPr>
          <w:rStyle w:val="normaltextrun"/>
        </w:rPr>
      </w:pPr>
      <w:proofErr w:type="gramStart"/>
      <w:r w:rsidRPr="00E34E46">
        <w:rPr>
          <w:rStyle w:val="eop"/>
        </w:rPr>
        <w:t>s’assurer</w:t>
      </w:r>
      <w:proofErr w:type="gramEnd"/>
      <w:r w:rsidRPr="00E34E46">
        <w:rPr>
          <w:rStyle w:val="eop"/>
        </w:rPr>
        <w:t xml:space="preserve"> que les personnes qui cherchent de l’aide ne seront pas redirigées vers plus de deux personnes et qu’elles n’auront pas à répéter leur problème ou la solution.</w:t>
      </w:r>
    </w:p>
    <w:p w14:paraId="27823C9D" w14:textId="37D79183" w:rsidR="00F054F2" w:rsidRPr="00E34E46" w:rsidRDefault="00F054F2" w:rsidP="00B56537">
      <w:pPr>
        <w:pStyle w:val="Heading4"/>
        <w:rPr>
          <w:rStyle w:val="eop"/>
          <w:rFonts w:cs="Arial"/>
        </w:rPr>
      </w:pPr>
      <w:bookmarkStart w:id="108" w:name="_Toc210828529"/>
      <w:r w:rsidRPr="00E34E46">
        <w:rPr>
          <w:rStyle w:val="normaltextrun"/>
        </w:rPr>
        <w:t>D10. Répondre à divers besoins de communication</w:t>
      </w:r>
      <w:bookmarkEnd w:id="108"/>
    </w:p>
    <w:p w14:paraId="4A5C19FE" w14:textId="6EA256B0" w:rsidR="00F054F2" w:rsidRPr="00E34E46" w:rsidRDefault="00F054F2" w:rsidP="00B56537">
      <w:r w:rsidRPr="00E34E46">
        <w:t>Il faut savoir que les gens ont des besoins de communication variés qui vont au-delà des offres multilingues traditionnelles fondées sur la diversité linguistique. Des utilisateurs peuvent s’appuyer sur des systèmes de signes visuels, des interprètes professionnels et non officiels ainsi que d’autres dispositifs de communication augmentée et auxiliaire. Les organisations devraient :</w:t>
      </w:r>
    </w:p>
    <w:p w14:paraId="72FF1EAD" w14:textId="286CB060" w:rsidR="006017FC" w:rsidRPr="00E34E46" w:rsidRDefault="006017FC" w:rsidP="002401A9">
      <w:pPr>
        <w:pStyle w:val="ListParagraph"/>
        <w:numPr>
          <w:ilvl w:val="0"/>
          <w:numId w:val="18"/>
        </w:numPr>
        <w:ind w:hanging="720"/>
        <w:rPr>
          <w:rStyle w:val="normaltextrun"/>
        </w:rPr>
      </w:pPr>
      <w:proofErr w:type="gramStart"/>
      <w:r w:rsidRPr="00E34E46">
        <w:rPr>
          <w:rStyle w:val="normaltextrun"/>
        </w:rPr>
        <w:lastRenderedPageBreak/>
        <w:t>s’assurer</w:t>
      </w:r>
      <w:proofErr w:type="gramEnd"/>
      <w:r w:rsidRPr="00E34E46">
        <w:rPr>
          <w:rStyle w:val="normaltextrun"/>
        </w:rPr>
        <w:t xml:space="preserve"> que les utilisateurs peuvent définir leurs propres besoins en matière de communication et la configuration de leurs mesures de soutien;</w:t>
      </w:r>
    </w:p>
    <w:p w14:paraId="4A5DFFA3" w14:textId="4CE97D1C" w:rsidR="00F054F2" w:rsidRPr="00E34E46" w:rsidRDefault="00F054F2" w:rsidP="002401A9">
      <w:pPr>
        <w:pStyle w:val="ListParagraph"/>
        <w:numPr>
          <w:ilvl w:val="0"/>
          <w:numId w:val="18"/>
        </w:numPr>
        <w:ind w:hanging="720"/>
        <w:rPr>
          <w:rStyle w:val="normaltextrun"/>
        </w:rPr>
      </w:pPr>
      <w:proofErr w:type="gramStart"/>
      <w:r w:rsidRPr="00E34E46">
        <w:rPr>
          <w:rStyle w:val="normaltextrun"/>
        </w:rPr>
        <w:t>s’assurer</w:t>
      </w:r>
      <w:proofErr w:type="gramEnd"/>
      <w:r w:rsidRPr="00E34E46">
        <w:rPr>
          <w:rStyle w:val="normaltextrun"/>
        </w:rPr>
        <w:t xml:space="preserve"> que toute personne ciblant divers besoins de communication dispose de suffisamment de temps pour demander le soutien approprié, garantir une bonne compréhension et éviter les malentendus lors d’interactions;</w:t>
      </w:r>
    </w:p>
    <w:p w14:paraId="1324EC4E" w14:textId="5DD7015D" w:rsidR="00F054F2" w:rsidRPr="00E34E46" w:rsidRDefault="00F054F2" w:rsidP="002401A9">
      <w:pPr>
        <w:pStyle w:val="ListParagraph"/>
        <w:numPr>
          <w:ilvl w:val="0"/>
          <w:numId w:val="18"/>
        </w:numPr>
        <w:ind w:hanging="720"/>
        <w:rPr>
          <w:rStyle w:val="eop"/>
        </w:rPr>
      </w:pPr>
      <w:proofErr w:type="gramStart"/>
      <w:r w:rsidRPr="00E34E46">
        <w:rPr>
          <w:rStyle w:val="normaltextrun"/>
        </w:rPr>
        <w:t>s’assurer</w:t>
      </w:r>
      <w:proofErr w:type="gramEnd"/>
      <w:r w:rsidRPr="00E34E46">
        <w:rPr>
          <w:rStyle w:val="normaltextrun"/>
        </w:rPr>
        <w:t xml:space="preserve"> que plusieurs modes de communication sont offerts à chaque interaction et étape du processus d’approvisionnement</w:t>
      </w:r>
      <w:r w:rsidR="007350AC" w:rsidRPr="00E34E46">
        <w:rPr>
          <w:rStyle w:val="normaltextrun"/>
        </w:rPr>
        <w:t>;</w:t>
      </w:r>
    </w:p>
    <w:p w14:paraId="0A8A28E2" w14:textId="1C5C3982" w:rsidR="00F054F2" w:rsidRPr="00E34E46" w:rsidRDefault="00F054F2" w:rsidP="002401A9">
      <w:pPr>
        <w:pStyle w:val="ListParagraph"/>
        <w:numPr>
          <w:ilvl w:val="0"/>
          <w:numId w:val="18"/>
        </w:numPr>
        <w:ind w:hanging="720"/>
      </w:pPr>
      <w:proofErr w:type="gramStart"/>
      <w:r w:rsidRPr="00E34E46">
        <w:rPr>
          <w:rStyle w:val="eop"/>
        </w:rPr>
        <w:t>s’assurer</w:t>
      </w:r>
      <w:proofErr w:type="gramEnd"/>
      <w:r w:rsidRPr="00E34E46">
        <w:rPr>
          <w:rStyle w:val="eop"/>
        </w:rPr>
        <w:t xml:space="preserve"> que le personnel de projet et d’approvisionnement dispose des ressources et des connaissances nécessaires pour savoir où et comment demander du soutien pour les communications promptement;</w:t>
      </w:r>
    </w:p>
    <w:p w14:paraId="714F1095" w14:textId="6ABA89E9" w:rsidR="00F054F2" w:rsidRPr="00E34E46" w:rsidRDefault="00F054F2" w:rsidP="002401A9">
      <w:pPr>
        <w:pStyle w:val="ListParagraph"/>
        <w:numPr>
          <w:ilvl w:val="0"/>
          <w:numId w:val="18"/>
        </w:numPr>
        <w:ind w:hanging="720"/>
        <w:rPr>
          <w:rStyle w:val="eop"/>
        </w:rPr>
      </w:pPr>
      <w:proofErr w:type="gramStart"/>
      <w:r w:rsidRPr="00E34E46">
        <w:rPr>
          <w:rStyle w:val="normaltextrun"/>
        </w:rPr>
        <w:t>s’assurer</w:t>
      </w:r>
      <w:proofErr w:type="gramEnd"/>
      <w:r w:rsidRPr="00E34E46">
        <w:rPr>
          <w:rStyle w:val="normaltextrun"/>
        </w:rPr>
        <w:t xml:space="preserve"> que tous les documents sont offerts dans un langage clair et simple, à toutes les étapes du processus d’approvisionnement </w:t>
      </w:r>
      <w:r w:rsidRPr="00E34E46">
        <w:rPr>
          <w:rStyle w:val="eop"/>
        </w:rPr>
        <w:t xml:space="preserve">(voir la norme </w:t>
      </w:r>
      <w:r w:rsidRPr="00E34E46">
        <w:t>ISO 24495-1:2023 – Langage clair et simple);</w:t>
      </w:r>
    </w:p>
    <w:p w14:paraId="013C23F6" w14:textId="084F67B0" w:rsidR="00F054F2" w:rsidRPr="00E34E46" w:rsidRDefault="00F054F2" w:rsidP="002401A9">
      <w:pPr>
        <w:pStyle w:val="ListParagraph"/>
        <w:numPr>
          <w:ilvl w:val="0"/>
          <w:numId w:val="18"/>
        </w:numPr>
        <w:ind w:hanging="720"/>
        <w:rPr>
          <w:rStyle w:val="eop"/>
        </w:rPr>
      </w:pPr>
      <w:proofErr w:type="gramStart"/>
      <w:r w:rsidRPr="00E34E46">
        <w:rPr>
          <w:rStyle w:val="normaltextrun"/>
        </w:rPr>
        <w:t>s’assurer</w:t>
      </w:r>
      <w:proofErr w:type="gramEnd"/>
      <w:r w:rsidRPr="00E34E46">
        <w:rPr>
          <w:rStyle w:val="normaltextrun"/>
        </w:rPr>
        <w:t xml:space="preserve"> que les explications et les instructions relatives au processus d’approvisionnement sont accessibles, utilisables et faciles à </w:t>
      </w:r>
      <w:r w:rsidRPr="00E34E46">
        <w:rPr>
          <w:rStyle w:val="normaltextrun"/>
        </w:rPr>
        <w:lastRenderedPageBreak/>
        <w:t xml:space="preserve">comprendre (voir la norme </w:t>
      </w:r>
      <w:r w:rsidRPr="00E34E46">
        <w:t>ISO 21801-1:2020 – Accessibilité cognitive);</w:t>
      </w:r>
    </w:p>
    <w:p w14:paraId="7B3C4358" w14:textId="1916F936" w:rsidR="00F054F2" w:rsidRPr="00E34E46" w:rsidRDefault="00F054F2" w:rsidP="002401A9">
      <w:pPr>
        <w:pStyle w:val="ListParagraph"/>
        <w:numPr>
          <w:ilvl w:val="0"/>
          <w:numId w:val="18"/>
        </w:numPr>
        <w:ind w:hanging="720"/>
        <w:rPr>
          <w:rStyle w:val="eop"/>
        </w:rPr>
      </w:pPr>
      <w:proofErr w:type="gramStart"/>
      <w:r w:rsidRPr="00E34E46">
        <w:rPr>
          <w:rStyle w:val="eop"/>
        </w:rPr>
        <w:t>s’assurer</w:t>
      </w:r>
      <w:proofErr w:type="gramEnd"/>
      <w:r w:rsidRPr="00E34E46">
        <w:rPr>
          <w:rStyle w:val="eop"/>
        </w:rPr>
        <w:t xml:space="preserve"> que les documents comportent des vidéos en ASL (American </w:t>
      </w:r>
      <w:proofErr w:type="spellStart"/>
      <w:r w:rsidRPr="00E34E46">
        <w:rPr>
          <w:rStyle w:val="eop"/>
        </w:rPr>
        <w:t>Sign</w:t>
      </w:r>
      <w:proofErr w:type="spellEnd"/>
      <w:r w:rsidRPr="00E34E46">
        <w:rPr>
          <w:rStyle w:val="eop"/>
        </w:rPr>
        <w:t xml:space="preserve"> </w:t>
      </w:r>
      <w:proofErr w:type="spellStart"/>
      <w:r w:rsidRPr="00E34E46">
        <w:rPr>
          <w:rStyle w:val="eop"/>
        </w:rPr>
        <w:t>Language</w:t>
      </w:r>
      <w:proofErr w:type="spellEnd"/>
      <w:r w:rsidRPr="00E34E46">
        <w:rPr>
          <w:rStyle w:val="eop"/>
        </w:rPr>
        <w:t>) et en LSQ (langue des signes québécoise) et maintenir la plus haute qualité d’interprétation;</w:t>
      </w:r>
    </w:p>
    <w:p w14:paraId="51F082E7" w14:textId="21633CF3" w:rsidR="00F054F2" w:rsidRPr="00E34E46" w:rsidRDefault="00F054F2" w:rsidP="002401A9">
      <w:pPr>
        <w:pStyle w:val="ListParagraph"/>
        <w:numPr>
          <w:ilvl w:val="0"/>
          <w:numId w:val="18"/>
        </w:numPr>
        <w:ind w:hanging="720"/>
      </w:pPr>
      <w:proofErr w:type="gramStart"/>
      <w:r w:rsidRPr="00E34E46">
        <w:rPr>
          <w:rStyle w:val="eop"/>
        </w:rPr>
        <w:t>faire</w:t>
      </w:r>
      <w:proofErr w:type="gramEnd"/>
      <w:r w:rsidRPr="00E34E46">
        <w:rPr>
          <w:rStyle w:val="eop"/>
        </w:rPr>
        <w:t xml:space="preserve"> en sorte que, si un fournisseur potentiel a besoin d’un interprète en ASL/LSQ, l’organisation dispose d’interprètes sur place. Il peut s’agir d’interprétation vidéo à distance, de services de relais vidéo ou d’interprétation en personne. Ceux-ci doivent répondre aux besoins de communication de l’utilisateur, correspondre aux caractéristiques de la région et être accrédités professionnellement pour travailler au Canada;</w:t>
      </w:r>
    </w:p>
    <w:p w14:paraId="12DAA792" w14:textId="051242C7" w:rsidR="00F054F2" w:rsidRPr="00E34E46" w:rsidRDefault="00F054F2" w:rsidP="002401A9">
      <w:pPr>
        <w:pStyle w:val="ListParagraph"/>
        <w:numPr>
          <w:ilvl w:val="0"/>
          <w:numId w:val="18"/>
        </w:numPr>
        <w:ind w:hanging="720"/>
        <w:rPr>
          <w:rStyle w:val="normaltextrun"/>
        </w:rPr>
      </w:pPr>
      <w:proofErr w:type="gramStart"/>
      <w:r w:rsidRPr="00E34E46">
        <w:rPr>
          <w:rStyle w:val="normaltextrun"/>
        </w:rPr>
        <w:t>s’assurer</w:t>
      </w:r>
      <w:proofErr w:type="gramEnd"/>
      <w:r w:rsidRPr="00E34E46">
        <w:rPr>
          <w:rStyle w:val="normaltextrun"/>
        </w:rPr>
        <w:t xml:space="preserve"> que toute information communiquée concernant les besoins d’une personne en matière de soutien à la communication ne nuit pas à la qualité ou à l’efficacité de sa proposition en réponse à la DP en question;</w:t>
      </w:r>
    </w:p>
    <w:p w14:paraId="695B42BC" w14:textId="77777777" w:rsidR="00F054F2" w:rsidRPr="00E34E46" w:rsidRDefault="00F054F2" w:rsidP="002401A9">
      <w:pPr>
        <w:pStyle w:val="ListParagraph"/>
        <w:numPr>
          <w:ilvl w:val="0"/>
          <w:numId w:val="18"/>
        </w:numPr>
        <w:ind w:hanging="720"/>
      </w:pPr>
      <w:proofErr w:type="gramStart"/>
      <w:r w:rsidRPr="00E34E46">
        <w:rPr>
          <w:rStyle w:val="normaltextrun"/>
        </w:rPr>
        <w:t>s’assurer</w:t>
      </w:r>
      <w:proofErr w:type="gramEnd"/>
      <w:r w:rsidRPr="00E34E46">
        <w:rPr>
          <w:rStyle w:val="normaltextrun"/>
        </w:rPr>
        <w:t xml:space="preserve"> que toute information concernant les besoins de communication d’une personne n’entrave pas d’autres propositions qui seront déposées dans le cadre d’une DP (sauf si un mécanisme de </w:t>
      </w:r>
      <w:r w:rsidRPr="00E34E46">
        <w:rPr>
          <w:rStyle w:val="normaltextrun"/>
        </w:rPr>
        <w:lastRenderedPageBreak/>
        <w:t>consentement est mis en place pour garantir la transmission de l’information dans de futures propositions pour des raisons d’accessibilité, tout en préservant la vie privée et la confidentialité).</w:t>
      </w:r>
    </w:p>
    <w:p w14:paraId="5A60F050" w14:textId="3DDD0B5C" w:rsidR="00767806" w:rsidRPr="00E34E46" w:rsidRDefault="00767806" w:rsidP="00B56537">
      <w:pPr>
        <w:pStyle w:val="Heading4"/>
        <w:rPr>
          <w:rStyle w:val="normaltextrun"/>
        </w:rPr>
      </w:pPr>
      <w:bookmarkStart w:id="109" w:name="_Toc210828530"/>
      <w:bookmarkStart w:id="110" w:name="_Toc168722532"/>
      <w:bookmarkStart w:id="111" w:name="_Toc168722533"/>
      <w:bookmarkEnd w:id="107"/>
      <w:r w:rsidRPr="00E34E46">
        <w:rPr>
          <w:rStyle w:val="normaltextrun"/>
        </w:rPr>
        <w:t>D11. Valider les déclarations d’accessibilité des fournisseurs (VPAT et ACR)</w:t>
      </w:r>
      <w:bookmarkEnd w:id="109"/>
    </w:p>
    <w:p w14:paraId="53F006D3" w14:textId="77777777" w:rsidR="00767806" w:rsidRPr="00E34E46" w:rsidRDefault="00767806" w:rsidP="00B56537">
      <w:pPr>
        <w:rPr>
          <w:rStyle w:val="eop"/>
        </w:rPr>
      </w:pPr>
      <w:r w:rsidRPr="00E34E46">
        <w:rPr>
          <w:rStyle w:val="eop"/>
        </w:rPr>
        <w:t>Les organisations devraient toujours tester et valider les déclarations du fournisseur en ce qui concerne l’accessibilité de leurs produits et services. Pour ce faire, l’organisation devrait :</w:t>
      </w:r>
    </w:p>
    <w:p w14:paraId="3A42BDB8" w14:textId="41317A61" w:rsidR="00767806" w:rsidRPr="00E34E46" w:rsidRDefault="00767806" w:rsidP="002401A9">
      <w:pPr>
        <w:pStyle w:val="ListParagraph"/>
        <w:numPr>
          <w:ilvl w:val="0"/>
          <w:numId w:val="32"/>
        </w:numPr>
        <w:ind w:hanging="720"/>
        <w:rPr>
          <w:rStyle w:val="eop"/>
        </w:rPr>
      </w:pPr>
      <w:proofErr w:type="gramStart"/>
      <w:r w:rsidRPr="00E34E46">
        <w:rPr>
          <w:rStyle w:val="normaltextrun"/>
        </w:rPr>
        <w:t>demander</w:t>
      </w:r>
      <w:proofErr w:type="gramEnd"/>
      <w:r w:rsidRPr="00E34E46">
        <w:rPr>
          <w:rStyle w:val="normaltextrun"/>
        </w:rPr>
        <w:t xml:space="preserve"> au fournisseur de fournir le rapport de conformité accessible le plus récent, selon le modèle VPAT pertinent. Si ce modèle a été utilisé, il faudra indiquer quelles versions;</w:t>
      </w:r>
    </w:p>
    <w:p w14:paraId="2306097A" w14:textId="514ECEB1" w:rsidR="00A4543A" w:rsidRPr="00E34E46" w:rsidRDefault="00283A67" w:rsidP="002401A9">
      <w:pPr>
        <w:pStyle w:val="ListParagraph"/>
        <w:numPr>
          <w:ilvl w:val="0"/>
          <w:numId w:val="32"/>
        </w:numPr>
        <w:ind w:hanging="720"/>
        <w:rPr>
          <w:rStyle w:val="eop"/>
        </w:rPr>
      </w:pPr>
      <w:proofErr w:type="gramStart"/>
      <w:r w:rsidRPr="00E34E46">
        <w:rPr>
          <w:rStyle w:val="eop"/>
        </w:rPr>
        <w:t>effectuer</w:t>
      </w:r>
      <w:proofErr w:type="gramEnd"/>
      <w:r w:rsidRPr="00E34E46">
        <w:rPr>
          <w:rStyle w:val="eop"/>
        </w:rPr>
        <w:t xml:space="preserve"> des tests internes, dans la mesure du possible, avec des testeurs locaux en accessibilité ou des équipes informatiques ayant des connaissances en accessibilité :</w:t>
      </w:r>
    </w:p>
    <w:p w14:paraId="5FEFF432" w14:textId="41B690E7" w:rsidR="00835FE9" w:rsidRPr="00E34E46" w:rsidRDefault="00835FE9" w:rsidP="002401A9">
      <w:pPr>
        <w:pStyle w:val="ListParagraph"/>
        <w:numPr>
          <w:ilvl w:val="1"/>
          <w:numId w:val="32"/>
        </w:numPr>
        <w:ind w:hanging="720"/>
        <w:rPr>
          <w:rStyle w:val="eop"/>
        </w:rPr>
      </w:pPr>
      <w:proofErr w:type="gramStart"/>
      <w:r w:rsidRPr="00E34E46">
        <w:rPr>
          <w:rStyle w:val="eop"/>
        </w:rPr>
        <w:t>il</w:t>
      </w:r>
      <w:proofErr w:type="gramEnd"/>
      <w:r w:rsidRPr="00E34E46">
        <w:rPr>
          <w:rStyle w:val="eop"/>
        </w:rPr>
        <w:t xml:space="preserve"> peut s’agir ici, par exemple, de tests en bac à sable au moyen de systèmes et de révisions structurées de l’accessibilité réalisées avec des personnes ayant une expérience vécue;</w:t>
      </w:r>
    </w:p>
    <w:p w14:paraId="181C538C" w14:textId="2230B5AE" w:rsidR="00DF7D52" w:rsidRPr="00E34E46" w:rsidRDefault="00D105DF" w:rsidP="002401A9">
      <w:pPr>
        <w:pStyle w:val="ListParagraph"/>
        <w:numPr>
          <w:ilvl w:val="1"/>
          <w:numId w:val="32"/>
        </w:numPr>
        <w:ind w:hanging="720"/>
      </w:pPr>
      <w:proofErr w:type="gramStart"/>
      <w:r w:rsidRPr="00E34E46">
        <w:rPr>
          <w:rStyle w:val="eop"/>
        </w:rPr>
        <w:lastRenderedPageBreak/>
        <w:t>déterminer</w:t>
      </w:r>
      <w:proofErr w:type="gramEnd"/>
      <w:r w:rsidRPr="00E34E46">
        <w:rPr>
          <w:rStyle w:val="eop"/>
        </w:rPr>
        <w:t xml:space="preserve"> quelles sont les lacunes en accessibilité aux fins de suivi, le cas échéant;</w:t>
      </w:r>
    </w:p>
    <w:p w14:paraId="2D75195B" w14:textId="6479EAFA" w:rsidR="00767806" w:rsidRPr="00E34E46" w:rsidRDefault="00767806" w:rsidP="002401A9">
      <w:pPr>
        <w:pStyle w:val="ListParagraph"/>
        <w:numPr>
          <w:ilvl w:val="0"/>
          <w:numId w:val="32"/>
        </w:numPr>
        <w:ind w:hanging="720"/>
      </w:pPr>
      <w:proofErr w:type="gramStart"/>
      <w:r w:rsidRPr="00E34E46">
        <w:rPr>
          <w:rStyle w:val="normaltextrun"/>
        </w:rPr>
        <w:t>vérifier</w:t>
      </w:r>
      <w:proofErr w:type="gramEnd"/>
      <w:r w:rsidRPr="00E34E46">
        <w:rPr>
          <w:rStyle w:val="normaltextrun"/>
        </w:rPr>
        <w:t xml:space="preserve"> si la version la plus récente du produit ou du service a été testée, que ce soit en interne ou par un tiers;</w:t>
      </w:r>
    </w:p>
    <w:p w14:paraId="005A85EA" w14:textId="056E3850" w:rsidR="00767806" w:rsidRPr="00E34E46" w:rsidRDefault="00CA4CD9" w:rsidP="007350AC">
      <w:pPr>
        <w:pStyle w:val="ListParagraph"/>
        <w:numPr>
          <w:ilvl w:val="0"/>
          <w:numId w:val="32"/>
        </w:numPr>
        <w:ind w:hanging="720"/>
      </w:pPr>
      <w:proofErr w:type="gramStart"/>
      <w:r w:rsidRPr="00E34E46">
        <w:t>documenter</w:t>
      </w:r>
      <w:proofErr w:type="gramEnd"/>
      <w:r w:rsidRPr="00E34E46">
        <w:t xml:space="preserve"> les outils automatisés ou manuels employés pour tester la conformité de l’accessibilité avec les règlements et les normes applicables.</w:t>
      </w:r>
    </w:p>
    <w:p w14:paraId="393EBE96" w14:textId="77777777" w:rsidR="00767806" w:rsidRPr="00E34E46" w:rsidRDefault="00767806" w:rsidP="00B56537">
      <w:pPr>
        <w:pStyle w:val="Heading4"/>
        <w:rPr>
          <w:rStyle w:val="normaltextrun"/>
          <w:rFonts w:cs="Arial"/>
          <w:b w:val="0"/>
          <w:bCs/>
        </w:rPr>
      </w:pPr>
      <w:bookmarkStart w:id="112" w:name="_Toc168722534"/>
      <w:bookmarkStart w:id="113" w:name="_Toc210828531"/>
      <w:r w:rsidRPr="00E34E46">
        <w:rPr>
          <w:rStyle w:val="normaltextrun"/>
        </w:rPr>
        <w:t>D12. Évaluer le niveau de compétences en accessibilité des fournisseurs potentiels </w:t>
      </w:r>
      <w:bookmarkEnd w:id="112"/>
      <w:bookmarkEnd w:id="113"/>
    </w:p>
    <w:p w14:paraId="37226220" w14:textId="7CB797F2" w:rsidR="00767806" w:rsidRPr="00E34E46" w:rsidRDefault="00767806" w:rsidP="00B56537">
      <w:r w:rsidRPr="00E34E46">
        <w:t xml:space="preserve">Les compétences en matière d’accessibilité peuvent comprendre : la connaissance des directives en matière d’accessibilité; la sensibilisation au handicap; la connaissance des technologies ou des dispositifs d’assistance et la capacité à les utiliser; la loi sur l’accessibilité; les codes des droits de la personne; la création, la détermination et l’élimination des obstacles à l’accessibilité sous diverses formes (environnement bâti, communication, attitudes, TIC, transport, politiques et procédures), ainsi que d’autres compétences, aptitudes et capacités. La compréhension du niveau de </w:t>
      </w:r>
      <w:r w:rsidRPr="00E34E46">
        <w:lastRenderedPageBreak/>
        <w:t xml:space="preserve">compétence des fournisseurs en matière d’accessibilité peut influer sur les délais de mise en œuvre, les mesures correctives et les risques du projet. Voici ce que devraient donc faire les organisations et les autres entités : </w:t>
      </w:r>
    </w:p>
    <w:p w14:paraId="3D1B331A" w14:textId="584BCAA3" w:rsidR="00767806" w:rsidRPr="00E34E46" w:rsidRDefault="00767806" w:rsidP="002401A9">
      <w:pPr>
        <w:pStyle w:val="ListParagraph"/>
        <w:numPr>
          <w:ilvl w:val="0"/>
          <w:numId w:val="19"/>
        </w:numPr>
        <w:ind w:hanging="720"/>
        <w:rPr>
          <w:rStyle w:val="normaltextrun"/>
        </w:rPr>
      </w:pPr>
      <w:proofErr w:type="gramStart"/>
      <w:r w:rsidRPr="00E34E46">
        <w:rPr>
          <w:rStyle w:val="normaltextrun"/>
        </w:rPr>
        <w:t>déterminer</w:t>
      </w:r>
      <w:proofErr w:type="gramEnd"/>
      <w:r w:rsidRPr="00E34E46">
        <w:rPr>
          <w:rStyle w:val="normaltextrun"/>
        </w:rPr>
        <w:t xml:space="preserve"> quelles compétences obligatoires en matière d’accessibilité mettre en priorité lors de l’évaluation des soumissions;</w:t>
      </w:r>
    </w:p>
    <w:p w14:paraId="57843F3D" w14:textId="7B28FE31" w:rsidR="00767806" w:rsidRPr="00E34E46" w:rsidRDefault="00767806" w:rsidP="002401A9">
      <w:pPr>
        <w:pStyle w:val="ListParagraph"/>
        <w:numPr>
          <w:ilvl w:val="0"/>
          <w:numId w:val="19"/>
        </w:numPr>
        <w:ind w:hanging="720"/>
        <w:rPr>
          <w:rStyle w:val="normaltextrun"/>
        </w:rPr>
      </w:pPr>
      <w:proofErr w:type="gramStart"/>
      <w:r w:rsidRPr="00E34E46">
        <w:rPr>
          <w:rStyle w:val="normaltextrun"/>
        </w:rPr>
        <w:t>encourager</w:t>
      </w:r>
      <w:proofErr w:type="gramEnd"/>
      <w:r w:rsidRPr="00E34E46">
        <w:rPr>
          <w:rStyle w:val="normaltextrun"/>
        </w:rPr>
        <w:t xml:space="preserve"> les fournisseurs à démontrer leur engagement, leur sensibilisation et leur niveau d’expérience en ce qui a trait à l’accessibilité et à l’inclusion;</w:t>
      </w:r>
    </w:p>
    <w:p w14:paraId="077AFC5A" w14:textId="1EBDB2AC" w:rsidR="00767806" w:rsidRPr="00E34E46" w:rsidRDefault="00767806" w:rsidP="002401A9">
      <w:pPr>
        <w:pStyle w:val="ListParagraph"/>
        <w:numPr>
          <w:ilvl w:val="0"/>
          <w:numId w:val="19"/>
        </w:numPr>
        <w:ind w:hanging="720"/>
        <w:rPr>
          <w:rStyle w:val="eop"/>
        </w:rPr>
      </w:pPr>
      <w:proofErr w:type="gramStart"/>
      <w:r w:rsidRPr="00E34E46">
        <w:rPr>
          <w:rStyle w:val="normaltextrun"/>
        </w:rPr>
        <w:t>vérifier</w:t>
      </w:r>
      <w:proofErr w:type="gramEnd"/>
      <w:r w:rsidRPr="00E34E46">
        <w:rPr>
          <w:rStyle w:val="normaltextrun"/>
        </w:rPr>
        <w:t xml:space="preserve"> les tiers engagés pour les tests d’accessibilité afin de déterminer leurs compétences et leur expertise en matière d’accessibilité;</w:t>
      </w:r>
    </w:p>
    <w:p w14:paraId="142FBF79" w14:textId="72164B9A" w:rsidR="00767806" w:rsidRPr="00E34E46" w:rsidRDefault="00767806" w:rsidP="002401A9">
      <w:pPr>
        <w:pStyle w:val="ListParagraph"/>
        <w:numPr>
          <w:ilvl w:val="0"/>
          <w:numId w:val="19"/>
        </w:numPr>
        <w:ind w:hanging="720"/>
      </w:pPr>
      <w:proofErr w:type="gramStart"/>
      <w:r w:rsidRPr="00E34E46">
        <w:rPr>
          <w:rStyle w:val="eop"/>
        </w:rPr>
        <w:t>tenir</w:t>
      </w:r>
      <w:proofErr w:type="gramEnd"/>
      <w:r w:rsidRPr="00E34E46">
        <w:rPr>
          <w:rStyle w:val="eop"/>
        </w:rPr>
        <w:t xml:space="preserve"> compte de l’expérience vécue et des équivalences pour les qualifications pédagogiques (par ex., combinaison d’expérience professionnelle et d’activités professionnelles).</w:t>
      </w:r>
    </w:p>
    <w:p w14:paraId="554C4BB3" w14:textId="1909F069" w:rsidR="00767806" w:rsidRPr="00E34E46" w:rsidRDefault="00767806" w:rsidP="00B56537">
      <w:pPr>
        <w:pStyle w:val="Heading4"/>
        <w:rPr>
          <w:rStyle w:val="eop"/>
          <w:rFonts w:cs="Arial"/>
        </w:rPr>
      </w:pPr>
      <w:bookmarkStart w:id="114" w:name="_Toc168722535"/>
      <w:bookmarkStart w:id="115" w:name="_Toc210828532"/>
      <w:r w:rsidRPr="00E34E46">
        <w:rPr>
          <w:rStyle w:val="normaltextrun"/>
        </w:rPr>
        <w:lastRenderedPageBreak/>
        <w:t>D13. Évaluer les risques pour l’accessibilité aussitôt que possible</w:t>
      </w:r>
      <w:bookmarkEnd w:id="114"/>
      <w:bookmarkEnd w:id="115"/>
    </w:p>
    <w:p w14:paraId="6B00FDC6" w14:textId="2C9BDA66" w:rsidR="00767806" w:rsidRPr="00E34E46" w:rsidRDefault="00767806" w:rsidP="00B56537">
      <w:r w:rsidRPr="00E34E46">
        <w:t>Les organisations évaluent souvent les risques à différentes étapes de leur cycle d’approvisionnement. Dans le cadre de l’approvisionnement accessible, le risque devrait être évalué le plus tôt possible dans le cycle d’approvisionnement. Le risque peut toucher la réputation, la responsabilité, l’aspect juridique, la loi sur l’emploi et les codes régissant les droits de la personne, abordant ainsi les risques internes et externes pour l’organisation et l’entité. Les organisations devraient :</w:t>
      </w:r>
    </w:p>
    <w:p w14:paraId="2014766A" w14:textId="0C90DDDB" w:rsidR="00767806" w:rsidRPr="00E34E46" w:rsidRDefault="00767806" w:rsidP="002401A9">
      <w:pPr>
        <w:pStyle w:val="ListParagraph"/>
        <w:numPr>
          <w:ilvl w:val="0"/>
          <w:numId w:val="20"/>
        </w:numPr>
        <w:ind w:hanging="720"/>
        <w:rPr>
          <w:rStyle w:val="normaltextrun"/>
        </w:rPr>
      </w:pPr>
      <w:proofErr w:type="gramStart"/>
      <w:r w:rsidRPr="00E34E46">
        <w:rPr>
          <w:rStyle w:val="normaltextrun"/>
        </w:rPr>
        <w:t>élaborer</w:t>
      </w:r>
      <w:proofErr w:type="gramEnd"/>
      <w:r w:rsidRPr="00E34E46">
        <w:rPr>
          <w:rStyle w:val="normaltextrun"/>
        </w:rPr>
        <w:t xml:space="preserve"> des mécanismes pour gérer les risques juridiques pouvant surgir à différentes étapes du processus d’approvisionnement en raison de l’accessibilité;</w:t>
      </w:r>
    </w:p>
    <w:p w14:paraId="713098BC" w14:textId="2D9D456F" w:rsidR="0099215A" w:rsidRPr="00E34E46" w:rsidRDefault="0099215A" w:rsidP="002401A9">
      <w:pPr>
        <w:pStyle w:val="ListParagraph"/>
        <w:numPr>
          <w:ilvl w:val="1"/>
          <w:numId w:val="20"/>
        </w:numPr>
        <w:ind w:hanging="720"/>
        <w:rPr>
          <w:rStyle w:val="normaltextrun"/>
        </w:rPr>
      </w:pPr>
      <w:proofErr w:type="gramStart"/>
      <w:r w:rsidRPr="00E34E46">
        <w:rPr>
          <w:rStyle w:val="normaltextrun"/>
        </w:rPr>
        <w:t>réfléchir</w:t>
      </w:r>
      <w:proofErr w:type="gramEnd"/>
      <w:r w:rsidRPr="00E34E46">
        <w:rPr>
          <w:rStyle w:val="normaltextrun"/>
        </w:rPr>
        <w:t xml:space="preserve"> aux différents niveaux de risque et à la façon dont ceux-ci peuvent évoluer à travers les différents services de l’organisation</w:t>
      </w:r>
      <w:r w:rsidR="002401A9" w:rsidRPr="00E34E46">
        <w:rPr>
          <w:rStyle w:val="normaltextrun"/>
        </w:rPr>
        <w:t>;</w:t>
      </w:r>
    </w:p>
    <w:p w14:paraId="4C0F801F" w14:textId="0A813E7A" w:rsidR="00767806" w:rsidRPr="00E34E46" w:rsidRDefault="00767806" w:rsidP="002401A9">
      <w:pPr>
        <w:pStyle w:val="ListParagraph"/>
        <w:numPr>
          <w:ilvl w:val="0"/>
          <w:numId w:val="20"/>
        </w:numPr>
        <w:ind w:hanging="720"/>
        <w:rPr>
          <w:rStyle w:val="normaltextrun"/>
        </w:rPr>
      </w:pPr>
      <w:proofErr w:type="gramStart"/>
      <w:r w:rsidRPr="00E34E46">
        <w:rPr>
          <w:rStyle w:val="normaltextrun"/>
        </w:rPr>
        <w:t>tenir</w:t>
      </w:r>
      <w:proofErr w:type="gramEnd"/>
      <w:r w:rsidRPr="00E34E46">
        <w:rPr>
          <w:rStyle w:val="normaltextrun"/>
        </w:rPr>
        <w:t xml:space="preserve"> compte du risque pour la réputation qui est lié à l’accessibilité des produits, des biens et des services et évaluer ses effets sur une </w:t>
      </w:r>
      <w:r w:rsidRPr="00E34E46">
        <w:rPr>
          <w:rStyle w:val="normaltextrun"/>
        </w:rPr>
        <w:lastRenderedPageBreak/>
        <w:t>organisation pendant la phase qui précède et qui suit la mise en œuvre. Déterminer également si les seuils des tests d’accessibilité ont été atteints;</w:t>
      </w:r>
    </w:p>
    <w:p w14:paraId="342AAC06" w14:textId="77777777" w:rsidR="00767806" w:rsidRPr="00E34E46" w:rsidRDefault="00767806" w:rsidP="002401A9">
      <w:pPr>
        <w:pStyle w:val="ListParagraph"/>
        <w:numPr>
          <w:ilvl w:val="0"/>
          <w:numId w:val="20"/>
        </w:numPr>
        <w:ind w:hanging="720"/>
        <w:rPr>
          <w:rStyle w:val="normaltextrun"/>
        </w:rPr>
      </w:pPr>
      <w:proofErr w:type="gramStart"/>
      <w:r w:rsidRPr="00E34E46">
        <w:rPr>
          <w:rStyle w:val="normaltextrun"/>
        </w:rPr>
        <w:t>fournir</w:t>
      </w:r>
      <w:proofErr w:type="gramEnd"/>
      <w:r w:rsidRPr="00E34E46">
        <w:rPr>
          <w:rStyle w:val="normaltextrun"/>
        </w:rPr>
        <w:t xml:space="preserve"> de la formation aux équipes d’approvisionnement sur la façon de repérer et de gérer les risques liés à l’accessibilité.</w:t>
      </w:r>
    </w:p>
    <w:p w14:paraId="3D138939" w14:textId="7E0147B4" w:rsidR="00151C6D" w:rsidRPr="00E34E46" w:rsidRDefault="00151C6D" w:rsidP="00B56537">
      <w:pPr>
        <w:pStyle w:val="Heading4"/>
        <w:rPr>
          <w:rStyle w:val="normaltextrun"/>
          <w:rFonts w:cs="Arial"/>
          <w:b w:val="0"/>
          <w:bCs/>
        </w:rPr>
      </w:pPr>
      <w:bookmarkStart w:id="116" w:name="_Toc168722536"/>
      <w:bookmarkStart w:id="117" w:name="_Toc210828533"/>
      <w:bookmarkEnd w:id="110"/>
      <w:bookmarkEnd w:id="111"/>
      <w:r w:rsidRPr="00E34E46">
        <w:rPr>
          <w:rStyle w:val="normaltextrun"/>
        </w:rPr>
        <w:t>D14. Veiller à l’accessibilité des contrats d’accessibilité axés sur le rendement ou sur les résultats</w:t>
      </w:r>
      <w:bookmarkEnd w:id="116"/>
      <w:bookmarkEnd w:id="117"/>
    </w:p>
    <w:p w14:paraId="31841DB5" w14:textId="4A3AD2F8" w:rsidR="00151C6D" w:rsidRPr="00E34E46" w:rsidRDefault="008201F4" w:rsidP="00B56537">
      <w:r w:rsidRPr="00E34E46">
        <w:rPr>
          <w:rStyle w:val="normaltextrun"/>
        </w:rPr>
        <w:t>Il existe une tendance croissante à tenir les fournisseurs responsables et à établir des relations afin que les besoins de l’organisation acheteuse soient comblés. Il y aurait lieu de privilégier dans les négociations contractuelles l’intégration de mesures de rendement ou de livrables dans les contrats en tant que résultats précis. Les organisations ou les entités devraient :</w:t>
      </w:r>
    </w:p>
    <w:p w14:paraId="49E30234" w14:textId="4661584E" w:rsidR="001905F7" w:rsidRPr="00E34E46" w:rsidRDefault="001905F7" w:rsidP="002401A9">
      <w:pPr>
        <w:pStyle w:val="ListParagraph"/>
        <w:numPr>
          <w:ilvl w:val="0"/>
          <w:numId w:val="21"/>
        </w:numPr>
        <w:ind w:hanging="720"/>
        <w:rPr>
          <w:rStyle w:val="normaltextrun"/>
        </w:rPr>
      </w:pPr>
      <w:proofErr w:type="gramStart"/>
      <w:r w:rsidRPr="00E34E46">
        <w:rPr>
          <w:rStyle w:val="normaltextrun"/>
        </w:rPr>
        <w:t>inclure</w:t>
      </w:r>
      <w:proofErr w:type="gramEnd"/>
      <w:r w:rsidRPr="00E34E46">
        <w:rPr>
          <w:rStyle w:val="normaltextrun"/>
        </w:rPr>
        <w:t xml:space="preserve"> l’accessibilité dans les codes de conduite des fournisseurs;</w:t>
      </w:r>
    </w:p>
    <w:p w14:paraId="347485F7" w14:textId="1222DE38" w:rsidR="00151C6D" w:rsidRPr="00E34E46" w:rsidRDefault="00151C6D" w:rsidP="002401A9">
      <w:pPr>
        <w:pStyle w:val="ListParagraph"/>
        <w:numPr>
          <w:ilvl w:val="0"/>
          <w:numId w:val="21"/>
        </w:numPr>
        <w:ind w:hanging="720"/>
      </w:pPr>
      <w:proofErr w:type="gramStart"/>
      <w:r w:rsidRPr="00E34E46">
        <w:rPr>
          <w:rStyle w:val="normaltextrun"/>
        </w:rPr>
        <w:t>introduire</w:t>
      </w:r>
      <w:proofErr w:type="gramEnd"/>
      <w:r w:rsidRPr="00E34E46">
        <w:rPr>
          <w:rStyle w:val="normaltextrun"/>
        </w:rPr>
        <w:t xml:space="preserve"> des critères liés à l’accessibilité dans le contrat;</w:t>
      </w:r>
    </w:p>
    <w:p w14:paraId="75442D11" w14:textId="3BD798C5" w:rsidR="00151C6D" w:rsidRPr="00E34E46" w:rsidRDefault="00151C6D" w:rsidP="002401A9">
      <w:pPr>
        <w:pStyle w:val="ListParagraph"/>
        <w:numPr>
          <w:ilvl w:val="0"/>
          <w:numId w:val="21"/>
        </w:numPr>
        <w:ind w:hanging="720"/>
      </w:pPr>
      <w:proofErr w:type="gramStart"/>
      <w:r w:rsidRPr="00E34E46">
        <w:rPr>
          <w:rStyle w:val="normaltextrun"/>
        </w:rPr>
        <w:t>indiquer</w:t>
      </w:r>
      <w:proofErr w:type="gramEnd"/>
      <w:r w:rsidRPr="00E34E46">
        <w:rPr>
          <w:rStyle w:val="normaltextrun"/>
        </w:rPr>
        <w:t xml:space="preserve"> explicitement comment les critères énoncés influenceront l’accessibilité;</w:t>
      </w:r>
    </w:p>
    <w:p w14:paraId="5381EB4C" w14:textId="3174883A" w:rsidR="00151C6D" w:rsidRPr="00E34E46" w:rsidRDefault="00151C6D" w:rsidP="002401A9">
      <w:pPr>
        <w:pStyle w:val="ListParagraph"/>
        <w:numPr>
          <w:ilvl w:val="0"/>
          <w:numId w:val="21"/>
        </w:numPr>
        <w:ind w:hanging="720"/>
      </w:pPr>
      <w:proofErr w:type="gramStart"/>
      <w:r w:rsidRPr="00E34E46">
        <w:rPr>
          <w:rStyle w:val="normaltextrun"/>
        </w:rPr>
        <w:lastRenderedPageBreak/>
        <w:t>fournir</w:t>
      </w:r>
      <w:proofErr w:type="gramEnd"/>
      <w:r w:rsidRPr="00E34E46">
        <w:rPr>
          <w:rStyle w:val="normaltextrun"/>
        </w:rPr>
        <w:t xml:space="preserve"> les différentes versions du contrat dans un format accessible;</w:t>
      </w:r>
    </w:p>
    <w:p w14:paraId="3A2CA1D8" w14:textId="53753E50" w:rsidR="00151C6D" w:rsidRPr="00E34E46" w:rsidRDefault="00151C6D" w:rsidP="002401A9">
      <w:pPr>
        <w:pStyle w:val="ListParagraph"/>
        <w:numPr>
          <w:ilvl w:val="0"/>
          <w:numId w:val="21"/>
        </w:numPr>
        <w:ind w:hanging="720"/>
      </w:pPr>
      <w:proofErr w:type="gramStart"/>
      <w:r w:rsidRPr="00E34E46">
        <w:rPr>
          <w:rStyle w:val="normaltextrun"/>
        </w:rPr>
        <w:t>à</w:t>
      </w:r>
      <w:proofErr w:type="gramEnd"/>
      <w:r w:rsidRPr="00E34E46">
        <w:rPr>
          <w:rStyle w:val="normaltextrun"/>
        </w:rPr>
        <w:t xml:space="preserve"> la lumière des exigences en matière d’accessibilité et des résultats des tests de conformité, créer et introduire des clauses d’accessibilité préexistantes dans les modèles de documents;</w:t>
      </w:r>
    </w:p>
    <w:p w14:paraId="5D49B023" w14:textId="19A1AE6A" w:rsidR="00151C6D" w:rsidRPr="00E34E46" w:rsidRDefault="00151C6D" w:rsidP="002401A9">
      <w:pPr>
        <w:pStyle w:val="ListParagraph"/>
        <w:numPr>
          <w:ilvl w:val="0"/>
          <w:numId w:val="21"/>
        </w:numPr>
        <w:ind w:hanging="720"/>
      </w:pPr>
      <w:proofErr w:type="gramStart"/>
      <w:r w:rsidRPr="00E34E46">
        <w:rPr>
          <w:rStyle w:val="normaltextrun"/>
        </w:rPr>
        <w:t>insérer</w:t>
      </w:r>
      <w:proofErr w:type="gramEnd"/>
      <w:r w:rsidRPr="00E34E46">
        <w:rPr>
          <w:rStyle w:val="normaltextrun"/>
        </w:rPr>
        <w:t xml:space="preserve"> et modifier les exigences propres à l’approvisionnement, au besoin, en collaboration avec le responsable de l’approvisionnement, le fournisseur, et les experts en accessibilité;</w:t>
      </w:r>
    </w:p>
    <w:p w14:paraId="6EF7124B" w14:textId="36EDB85E" w:rsidR="00151C6D" w:rsidRPr="00E34E46" w:rsidRDefault="00151C6D" w:rsidP="002401A9">
      <w:pPr>
        <w:pStyle w:val="ListParagraph"/>
        <w:numPr>
          <w:ilvl w:val="0"/>
          <w:numId w:val="21"/>
        </w:numPr>
        <w:ind w:hanging="720"/>
      </w:pPr>
      <w:proofErr w:type="gramStart"/>
      <w:r w:rsidRPr="00E34E46">
        <w:rPr>
          <w:rStyle w:val="normaltextrun"/>
        </w:rPr>
        <w:t>rédiger</w:t>
      </w:r>
      <w:proofErr w:type="gramEnd"/>
      <w:r w:rsidRPr="00E34E46">
        <w:rPr>
          <w:rStyle w:val="normaltextrun"/>
        </w:rPr>
        <w:t xml:space="preserve"> et fournir le contrat en langage clair et simple;</w:t>
      </w:r>
    </w:p>
    <w:p w14:paraId="1785B073" w14:textId="4D44633D" w:rsidR="00151C6D" w:rsidRPr="00E34E46" w:rsidRDefault="00151C6D" w:rsidP="002401A9">
      <w:pPr>
        <w:pStyle w:val="ListParagraph"/>
        <w:numPr>
          <w:ilvl w:val="0"/>
          <w:numId w:val="21"/>
        </w:numPr>
        <w:ind w:hanging="720"/>
      </w:pPr>
      <w:proofErr w:type="gramStart"/>
      <w:r w:rsidRPr="00E34E46">
        <w:rPr>
          <w:rStyle w:val="normaltextrun"/>
        </w:rPr>
        <w:t>inclure</w:t>
      </w:r>
      <w:proofErr w:type="gramEnd"/>
      <w:r w:rsidRPr="00E34E46">
        <w:rPr>
          <w:rStyle w:val="normaltextrun"/>
        </w:rPr>
        <w:t xml:space="preserve"> des clauses de confidentialité et de consentement liées aux utilisateurs et aux modalités des accords de services (potentiellement destinées à un public élargi) et faire en sorte qu’elles sont accessibles et rédigées en langage clair et simple</w:t>
      </w:r>
      <w:r w:rsidR="002401A9" w:rsidRPr="00E34E46">
        <w:rPr>
          <w:rStyle w:val="normaltextrun"/>
        </w:rPr>
        <w:t>;</w:t>
      </w:r>
    </w:p>
    <w:p w14:paraId="7ECEE026" w14:textId="6EA9A30F" w:rsidR="00151C6D" w:rsidRPr="00E34E46" w:rsidRDefault="00151C6D" w:rsidP="002401A9">
      <w:pPr>
        <w:pStyle w:val="ListParagraph"/>
        <w:numPr>
          <w:ilvl w:val="0"/>
          <w:numId w:val="21"/>
        </w:numPr>
        <w:ind w:hanging="720"/>
      </w:pPr>
      <w:proofErr w:type="gramStart"/>
      <w:r w:rsidRPr="00E34E46">
        <w:rPr>
          <w:rStyle w:val="normaltextrun"/>
        </w:rPr>
        <w:t>documenter</w:t>
      </w:r>
      <w:proofErr w:type="gramEnd"/>
      <w:r w:rsidRPr="00E34E46">
        <w:rPr>
          <w:rStyle w:val="normaltextrun"/>
        </w:rPr>
        <w:t xml:space="preserve"> clairement, avec des calendriers ou des solutions de contournement actives mutuellement convenues, une feuille de route pour les mesures correctives reposant sur des négociations contractuelles</w:t>
      </w:r>
      <w:r w:rsidR="007350AC" w:rsidRPr="00E34E46">
        <w:rPr>
          <w:rStyle w:val="normaltextrun"/>
        </w:rPr>
        <w:t>;</w:t>
      </w:r>
    </w:p>
    <w:p w14:paraId="617A10BB" w14:textId="2005E8E4" w:rsidR="00151C6D" w:rsidRPr="00E34E46" w:rsidRDefault="00151C6D" w:rsidP="002401A9">
      <w:pPr>
        <w:pStyle w:val="ListParagraph"/>
        <w:numPr>
          <w:ilvl w:val="0"/>
          <w:numId w:val="21"/>
        </w:numPr>
        <w:ind w:hanging="720"/>
      </w:pPr>
      <w:proofErr w:type="gramStart"/>
      <w:r w:rsidRPr="00E34E46">
        <w:rPr>
          <w:rStyle w:val="normaltextrun"/>
        </w:rPr>
        <w:t>introduire</w:t>
      </w:r>
      <w:proofErr w:type="gramEnd"/>
      <w:r w:rsidRPr="00E34E46">
        <w:rPr>
          <w:rStyle w:val="normaltextrun"/>
        </w:rPr>
        <w:t xml:space="preserve"> des calendriers convenus en fonction du plan de correction élaboré avec le fournisseur et l’organisation;</w:t>
      </w:r>
    </w:p>
    <w:p w14:paraId="22E0CAC0" w14:textId="0F010FA5" w:rsidR="00151C6D" w:rsidRPr="00E34E46" w:rsidRDefault="00151C6D" w:rsidP="002401A9">
      <w:pPr>
        <w:pStyle w:val="ListParagraph"/>
        <w:numPr>
          <w:ilvl w:val="0"/>
          <w:numId w:val="21"/>
        </w:numPr>
        <w:ind w:hanging="720"/>
      </w:pPr>
      <w:proofErr w:type="gramStart"/>
      <w:r w:rsidRPr="00E34E46">
        <w:rPr>
          <w:rStyle w:val="normaltextrun"/>
        </w:rPr>
        <w:lastRenderedPageBreak/>
        <w:t>inclure</w:t>
      </w:r>
      <w:proofErr w:type="gramEnd"/>
      <w:r w:rsidRPr="00E34E46">
        <w:rPr>
          <w:rStyle w:val="normaltextrun"/>
        </w:rPr>
        <w:t xml:space="preserve"> des calendriers précisant les seuils et les points de contrôle pour l’accessibilité que le fournisseur s’engage à respecter, puis collaborer avec une équipe en interne pour faciliter les mesures correctives, la conformité en matière d’accessibilité, et la compréhension d’un bout à l’autre des phases d’interaction avec le produit ou le service, y compris les tests et le lancement;</w:t>
      </w:r>
    </w:p>
    <w:p w14:paraId="24CEE20C" w14:textId="36C1F759" w:rsidR="00151C6D" w:rsidRPr="00E34E46" w:rsidRDefault="00151C6D" w:rsidP="002401A9">
      <w:pPr>
        <w:pStyle w:val="ListParagraph"/>
        <w:numPr>
          <w:ilvl w:val="0"/>
          <w:numId w:val="21"/>
        </w:numPr>
        <w:ind w:hanging="720"/>
      </w:pPr>
      <w:proofErr w:type="gramStart"/>
      <w:r w:rsidRPr="00E34E46">
        <w:rPr>
          <w:rStyle w:val="normaltextrun"/>
        </w:rPr>
        <w:t>si</w:t>
      </w:r>
      <w:proofErr w:type="gramEnd"/>
      <w:r w:rsidRPr="00E34E46">
        <w:rPr>
          <w:rStyle w:val="normaltextrun"/>
        </w:rPr>
        <w:t xml:space="preserve"> les processus de paiement dépendent des livrables liés aux résultats en matière d’accessibilité, intégrer des processus de paiement basés sur les échéanciers et les livrables auxquels se sont entendues les deux parties;</w:t>
      </w:r>
    </w:p>
    <w:p w14:paraId="2FC2A5FA" w14:textId="68C058E3" w:rsidR="00151C6D" w:rsidRPr="00E34E46" w:rsidRDefault="00151C6D" w:rsidP="002401A9">
      <w:pPr>
        <w:pStyle w:val="ListParagraph"/>
        <w:numPr>
          <w:ilvl w:val="0"/>
          <w:numId w:val="21"/>
        </w:numPr>
        <w:ind w:hanging="720"/>
      </w:pPr>
      <w:proofErr w:type="gramStart"/>
      <w:r w:rsidRPr="00E34E46">
        <w:rPr>
          <w:rStyle w:val="normaltextrun"/>
        </w:rPr>
        <w:t>inclure</w:t>
      </w:r>
      <w:proofErr w:type="gramEnd"/>
      <w:r w:rsidRPr="00E34E46">
        <w:rPr>
          <w:rStyle w:val="normaltextrun"/>
        </w:rPr>
        <w:t xml:space="preserve"> des clauses d’annulation ou de résiliation au cas où une solution de rechange ne serait pas possible ou ne serait pas fournie dans le délai convenu entre les parties, sans oublier d’ajouter des mécanismes de retrait pour l’organisation;</w:t>
      </w:r>
    </w:p>
    <w:p w14:paraId="59662376" w14:textId="36247C06" w:rsidR="00151C6D" w:rsidRPr="00E34E46" w:rsidRDefault="00151C6D" w:rsidP="002401A9">
      <w:pPr>
        <w:pStyle w:val="ListParagraph"/>
        <w:numPr>
          <w:ilvl w:val="0"/>
          <w:numId w:val="21"/>
        </w:numPr>
        <w:ind w:hanging="720"/>
      </w:pPr>
      <w:proofErr w:type="gramStart"/>
      <w:r w:rsidRPr="00E34E46">
        <w:rPr>
          <w:rStyle w:val="normaltextrun"/>
        </w:rPr>
        <w:t>inclure</w:t>
      </w:r>
      <w:proofErr w:type="gramEnd"/>
      <w:r w:rsidRPr="00E34E46">
        <w:rPr>
          <w:rStyle w:val="normaltextrun"/>
        </w:rPr>
        <w:t xml:space="preserve"> un mécanisme pour faciliter la gestion d’une éventuelle violation des conditions d’accessibilité indiquées dans le contrat ou d’un malentendu à ce propos. Une telle situation pourrait entraîner l’annulation de l’accord ou le recours à la phase de résolution des conflits présentée;</w:t>
      </w:r>
    </w:p>
    <w:p w14:paraId="3E6B562F" w14:textId="6A3FB2B3" w:rsidR="00151C6D" w:rsidRPr="00E34E46" w:rsidRDefault="00151C6D" w:rsidP="002401A9">
      <w:pPr>
        <w:pStyle w:val="ListParagraph"/>
        <w:numPr>
          <w:ilvl w:val="0"/>
          <w:numId w:val="21"/>
        </w:numPr>
        <w:ind w:hanging="720"/>
      </w:pPr>
      <w:proofErr w:type="gramStart"/>
      <w:r w:rsidRPr="00E34E46">
        <w:rPr>
          <w:rStyle w:val="normaltextrun"/>
        </w:rPr>
        <w:lastRenderedPageBreak/>
        <w:t>décrire</w:t>
      </w:r>
      <w:proofErr w:type="gramEnd"/>
      <w:r w:rsidRPr="00E34E46">
        <w:rPr>
          <w:rStyle w:val="normaltextrun"/>
        </w:rPr>
        <w:t xml:space="preserve"> un mécanisme de gestion des conflits et un processus de résolution avec des acteurs clairement définis, sans oublier leurs responsabilités, les différentes étapes, les processus et les mécanismes;</w:t>
      </w:r>
    </w:p>
    <w:p w14:paraId="36D62DA1" w14:textId="135CB688" w:rsidR="00151C6D" w:rsidRPr="00E34E46" w:rsidRDefault="00151C6D" w:rsidP="002401A9">
      <w:pPr>
        <w:pStyle w:val="ListParagraph"/>
        <w:numPr>
          <w:ilvl w:val="0"/>
          <w:numId w:val="21"/>
        </w:numPr>
        <w:ind w:hanging="720"/>
      </w:pPr>
      <w:proofErr w:type="gramStart"/>
      <w:r w:rsidRPr="00E34E46">
        <w:rPr>
          <w:rStyle w:val="normaltextrun"/>
        </w:rPr>
        <w:t>définir</w:t>
      </w:r>
      <w:proofErr w:type="gramEnd"/>
      <w:r w:rsidRPr="00E34E46">
        <w:rPr>
          <w:rStyle w:val="normaltextrun"/>
        </w:rPr>
        <w:t xml:space="preserve"> et expliquer en détail le processus de signalement à un échelon supérieur, ainsi que les critères et les délais;</w:t>
      </w:r>
    </w:p>
    <w:p w14:paraId="33A7DEF7" w14:textId="7B3F874D" w:rsidR="00151C6D" w:rsidRPr="00E34E46" w:rsidRDefault="00151C6D" w:rsidP="002401A9">
      <w:pPr>
        <w:pStyle w:val="ListParagraph"/>
        <w:numPr>
          <w:ilvl w:val="0"/>
          <w:numId w:val="21"/>
        </w:numPr>
        <w:ind w:hanging="720"/>
      </w:pPr>
      <w:proofErr w:type="gramStart"/>
      <w:r w:rsidRPr="00E34E46">
        <w:rPr>
          <w:rStyle w:val="normaltextrun"/>
        </w:rPr>
        <w:t>inclure</w:t>
      </w:r>
      <w:proofErr w:type="gramEnd"/>
      <w:r w:rsidRPr="00E34E46">
        <w:rPr>
          <w:rStyle w:val="normaltextrun"/>
        </w:rPr>
        <w:t xml:space="preserve"> une disposition pour le transfert des contrats et des responsabilités en cas de changement de propriétaire chez le fournisseur. La responsabilité de l’accessibilité et du contrat peut être maintenue, et une nouvelle partie peut être désignée avant le transfert.</w:t>
      </w:r>
    </w:p>
    <w:p w14:paraId="4A21872A" w14:textId="2455C18D" w:rsidR="00151C6D" w:rsidRPr="00E34E46" w:rsidRDefault="00151C6D" w:rsidP="00B56537">
      <w:pPr>
        <w:pStyle w:val="Heading3"/>
      </w:pPr>
      <w:bookmarkStart w:id="118" w:name="_Toc168722537"/>
      <w:bookmarkStart w:id="119" w:name="_Toc210828534"/>
      <w:r w:rsidRPr="00E34E46">
        <w:lastRenderedPageBreak/>
        <w:t xml:space="preserve">Thème E : </w:t>
      </w:r>
      <w:bookmarkStart w:id="120" w:name="_Hlk167186983"/>
      <w:r w:rsidRPr="00E34E46">
        <w:t>Créer et définir des initiatives sur la diversité des fournisseurs axées sur le handicap, déterminer les lacunes et les disparités chez les groupes sous-représentés, et établir les relations nécessaires pour comprendre les besoins de la communauté</w:t>
      </w:r>
      <w:bookmarkEnd w:id="118"/>
      <w:bookmarkEnd w:id="119"/>
      <w:bookmarkEnd w:id="120"/>
    </w:p>
    <w:p w14:paraId="7D038C4F" w14:textId="5F6B2E53" w:rsidR="0099649B" w:rsidRPr="00E34E46" w:rsidRDefault="0003643D" w:rsidP="00B56537">
      <w:r w:rsidRPr="00E34E46">
        <w:t>Les programmes et les modèles actuels de chaînes d’approvisionnement diversifiées et inclusives ne tiennent pas nécessairement compte de l’intersectionnalité du handicap. Cette section met en lumière des stratégies clés qui se sont montrées efficaces.</w:t>
      </w:r>
    </w:p>
    <w:p w14:paraId="024C3C49" w14:textId="508F4BA4" w:rsidR="00882E86" w:rsidRPr="00E34E46" w:rsidRDefault="00882E86" w:rsidP="00B56537">
      <w:r w:rsidRPr="00E34E46">
        <w:rPr>
          <w:b/>
        </w:rPr>
        <w:t>Objectif :</w:t>
      </w:r>
      <w:r w:rsidRPr="00E34E46">
        <w:t xml:space="preserve"> Aider les organisations et les entités à renforcer la sensibilisation aux différentes communautés et réalités liées au handicap et à favoriser les liens avec elles.</w:t>
      </w:r>
    </w:p>
    <w:p w14:paraId="034B4382" w14:textId="7CE15A1A" w:rsidR="00151C6D" w:rsidRPr="00E34E46" w:rsidRDefault="00151C6D" w:rsidP="00B56537">
      <w:pPr>
        <w:pStyle w:val="Heading4"/>
      </w:pPr>
      <w:bookmarkStart w:id="121" w:name="_Toc168722538"/>
      <w:bookmarkStart w:id="122" w:name="_Toc210828535"/>
      <w:r w:rsidRPr="00E34E46">
        <w:lastRenderedPageBreak/>
        <w:t>E1. Comprendre la diversité des chaînes d’approvisionnement organisationnelles</w:t>
      </w:r>
      <w:bookmarkEnd w:id="121"/>
      <w:bookmarkEnd w:id="122"/>
    </w:p>
    <w:p w14:paraId="79697F41" w14:textId="0350DF33" w:rsidR="00151C6D" w:rsidRPr="00E34E46" w:rsidRDefault="00151C6D" w:rsidP="00B56537">
      <w:r w:rsidRPr="00E34E46">
        <w:t>Prendre en compte la diversité des handicaps dans les chaînes d’approvisionnement dans le cadre de l’approvisionnement accessible. Disposer d’une méthode pour évaluer, améliorer et renforcer la diversité des chaînes d’approvisionnement dans le cadre de la stratégie d’approvisionnement accessible.</w:t>
      </w:r>
    </w:p>
    <w:p w14:paraId="5641A5F5" w14:textId="7288DFA9" w:rsidR="00A9622F" w:rsidRPr="00E34E46" w:rsidRDefault="00A9622F" w:rsidP="002401A9">
      <w:pPr>
        <w:pStyle w:val="ListParagraph"/>
        <w:numPr>
          <w:ilvl w:val="0"/>
          <w:numId w:val="22"/>
        </w:numPr>
        <w:ind w:hanging="720"/>
      </w:pPr>
      <w:r w:rsidRPr="00E34E46">
        <w:t>Corriger les inégalités en adaptant votre chaîne d’approvisionnement et en la faisant évoluer afin qu’elle tienne compte de la diversité des communautés locales et des personnes en situation de handicap.</w:t>
      </w:r>
    </w:p>
    <w:p w14:paraId="4B08EFAF" w14:textId="3B9231AF" w:rsidR="00151C6D" w:rsidRPr="00E34E46" w:rsidRDefault="00151C6D" w:rsidP="002401A9">
      <w:pPr>
        <w:pStyle w:val="ListParagraph"/>
        <w:numPr>
          <w:ilvl w:val="0"/>
          <w:numId w:val="22"/>
        </w:numPr>
        <w:ind w:hanging="720"/>
      </w:pPr>
      <w:r w:rsidRPr="00E34E46">
        <w:t>Élaborer une méthode pour évaluer, améliorer et renforcer la diversité des chaînes d’approvisionnement dans le cadre de la stratégie d’approvisionnement accessible.</w:t>
      </w:r>
    </w:p>
    <w:p w14:paraId="1774EF3F" w14:textId="6348AE1B" w:rsidR="00151C6D" w:rsidRPr="00E34E46" w:rsidRDefault="00151C6D" w:rsidP="002401A9">
      <w:pPr>
        <w:pStyle w:val="ListParagraph"/>
        <w:numPr>
          <w:ilvl w:val="0"/>
          <w:numId w:val="22"/>
        </w:numPr>
        <w:ind w:hanging="720"/>
      </w:pPr>
      <w:r w:rsidRPr="00E34E46">
        <w:t xml:space="preserve">Informer les entrepreneurs et les investisseurs en capital de risque sur les objectifs et les résultats souhaités quant à l’accessibilité dans les activités de l’organisation, et aussi sur l’amélioration possible de </w:t>
      </w:r>
      <w:r w:rsidRPr="00E34E46">
        <w:lastRenderedPageBreak/>
        <w:t xml:space="preserve">l’efficacité de la chaîne d’approvisionnement, tout en favorisant l’innovation. </w:t>
      </w:r>
    </w:p>
    <w:p w14:paraId="7C0AF124" w14:textId="4A0B1A99" w:rsidR="00151C6D" w:rsidRPr="00E34E46" w:rsidRDefault="00151C6D" w:rsidP="00B56537">
      <w:pPr>
        <w:pStyle w:val="Heading4"/>
      </w:pPr>
      <w:bookmarkStart w:id="123" w:name="_Toc168722539"/>
      <w:bookmarkStart w:id="124" w:name="_Toc210828536"/>
      <w:r w:rsidRPr="00E34E46">
        <w:t>E2. Dresser une liste de fournisseurs tiers pour les propriétaires d’entreprise en situation de handicap</w:t>
      </w:r>
      <w:bookmarkEnd w:id="123"/>
      <w:bookmarkEnd w:id="124"/>
      <w:r w:rsidRPr="00E34E46">
        <w:t> </w:t>
      </w:r>
    </w:p>
    <w:p w14:paraId="4AD1E731" w14:textId="480FB30A" w:rsidR="00151C6D" w:rsidRPr="00E34E46" w:rsidRDefault="00151C6D" w:rsidP="00B56537">
      <w:r w:rsidRPr="00E34E46">
        <w:t>La liste des fournisseurs tiers contribuerait à rendre le processus d’approvisionnement plus inclusif et mieux adapté aux besoins des entrepreneurs en situation de handicap. Or, pour favoriser un accès équitable à des fournisseurs de qualité et faire en sorte que les entrepreneurs en situation de handicap disposent des mêmes possibilités que les autres, les organisations devraient :</w:t>
      </w:r>
    </w:p>
    <w:p w14:paraId="719F190A" w14:textId="1282B624" w:rsidR="00151C6D" w:rsidRPr="00E34E46" w:rsidRDefault="00151C6D" w:rsidP="002401A9">
      <w:pPr>
        <w:pStyle w:val="ListParagraph"/>
        <w:numPr>
          <w:ilvl w:val="0"/>
          <w:numId w:val="23"/>
        </w:numPr>
        <w:ind w:hanging="720"/>
      </w:pPr>
      <w:proofErr w:type="gramStart"/>
      <w:r w:rsidRPr="00E34E46">
        <w:t>élaborer</w:t>
      </w:r>
      <w:proofErr w:type="gramEnd"/>
      <w:r w:rsidRPr="00E34E46">
        <w:t xml:space="preserve"> une politique visant à soutenir la création d’une liste de fournisseurs en s’appuyant sur les principes directeurs de l’inclusion et de la conception universelle;</w:t>
      </w:r>
    </w:p>
    <w:p w14:paraId="7F909774" w14:textId="77777777" w:rsidR="00151C6D" w:rsidRPr="00E34E46" w:rsidRDefault="00151C6D" w:rsidP="002401A9">
      <w:pPr>
        <w:pStyle w:val="ListParagraph"/>
        <w:numPr>
          <w:ilvl w:val="0"/>
          <w:numId w:val="23"/>
        </w:numPr>
        <w:ind w:hanging="720"/>
      </w:pPr>
      <w:proofErr w:type="gramStart"/>
      <w:r w:rsidRPr="00E34E46">
        <w:t>veiller</w:t>
      </w:r>
      <w:proofErr w:type="gramEnd"/>
      <w:r w:rsidRPr="00E34E46">
        <w:t xml:space="preserve"> au respect de la confidentialité et de la protection de la vie privée grâce à des mesures adéquates, afin de prévenir toutes conséquences sur un fournisseur découlant d’une divulgation involontaire d’un handicap ou d’une association à un handicap;</w:t>
      </w:r>
    </w:p>
    <w:p w14:paraId="690F4309" w14:textId="6C4A87C3" w:rsidR="00151C6D" w:rsidRPr="00E34E46" w:rsidRDefault="00151C6D" w:rsidP="002401A9">
      <w:pPr>
        <w:pStyle w:val="ListParagraph"/>
        <w:numPr>
          <w:ilvl w:val="0"/>
          <w:numId w:val="23"/>
        </w:numPr>
        <w:ind w:hanging="720"/>
      </w:pPr>
      <w:proofErr w:type="gramStart"/>
      <w:r w:rsidRPr="00E34E46">
        <w:lastRenderedPageBreak/>
        <w:t>prévoir</w:t>
      </w:r>
      <w:proofErr w:type="gramEnd"/>
      <w:r w:rsidRPr="00E34E46">
        <w:t xml:space="preserve"> une stratégie de communication efficace pour informer les personnes en situation de handicap pouvant éventuellement devenir propriétaires d’entreprise de l’existence de la liste des fournisseurs;</w:t>
      </w:r>
    </w:p>
    <w:p w14:paraId="098BA0E4" w14:textId="257F45C2" w:rsidR="00151C6D" w:rsidRPr="00E34E46" w:rsidRDefault="00151C6D" w:rsidP="002401A9">
      <w:pPr>
        <w:pStyle w:val="ListParagraph"/>
        <w:numPr>
          <w:ilvl w:val="0"/>
          <w:numId w:val="23"/>
        </w:numPr>
        <w:ind w:hanging="720"/>
      </w:pPr>
      <w:proofErr w:type="gramStart"/>
      <w:r w:rsidRPr="00E34E46">
        <w:t>s’assurer</w:t>
      </w:r>
      <w:proofErr w:type="gramEnd"/>
      <w:r w:rsidRPr="00E34E46">
        <w:t xml:space="preserve"> que les documents accessibles permettent aux fournisseurs de figurer sur la liste et d’y rester le temps qu’ils le souhaitent; </w:t>
      </w:r>
    </w:p>
    <w:p w14:paraId="4CA7FE87" w14:textId="02472879" w:rsidR="00151C6D" w:rsidRPr="00E34E46" w:rsidRDefault="00BA2014" w:rsidP="002401A9">
      <w:pPr>
        <w:pStyle w:val="ListParagraph"/>
        <w:numPr>
          <w:ilvl w:val="0"/>
          <w:numId w:val="23"/>
        </w:numPr>
        <w:ind w:hanging="720"/>
      </w:pPr>
      <w:proofErr w:type="gramStart"/>
      <w:r w:rsidRPr="00E34E46">
        <w:t>établir</w:t>
      </w:r>
      <w:proofErr w:type="gramEnd"/>
      <w:r w:rsidRPr="00E34E46">
        <w:t xml:space="preserve"> des mécanismes pour soutenir les fournisseurs en situation de handicap dans le processus d’intégration;</w:t>
      </w:r>
    </w:p>
    <w:p w14:paraId="63DC679E" w14:textId="5CE9DAFB" w:rsidR="00151C6D" w:rsidRPr="00E34E46" w:rsidRDefault="00151C6D" w:rsidP="002401A9">
      <w:pPr>
        <w:pStyle w:val="ListParagraph"/>
        <w:numPr>
          <w:ilvl w:val="0"/>
          <w:numId w:val="23"/>
        </w:numPr>
        <w:ind w:hanging="720"/>
      </w:pPr>
      <w:proofErr w:type="gramStart"/>
      <w:r w:rsidRPr="00E34E46">
        <w:t>pour</w:t>
      </w:r>
      <w:proofErr w:type="gramEnd"/>
      <w:r w:rsidRPr="00E34E46">
        <w:t xml:space="preserve"> soutenir les personnes figurant sur la liste, créer un processus sans obstacles, en commençant par le désir de s’inscrire jusqu’au retrait et à la confirmation, en passant par la réception de communications.</w:t>
      </w:r>
    </w:p>
    <w:p w14:paraId="19800BCA" w14:textId="77777777" w:rsidR="00151C6D" w:rsidRPr="00E34E46" w:rsidRDefault="00151C6D" w:rsidP="00B56537">
      <w:pPr>
        <w:pStyle w:val="Heading4"/>
      </w:pPr>
      <w:bookmarkStart w:id="125" w:name="_Toc168722540"/>
      <w:bookmarkStart w:id="126" w:name="_Toc210828537"/>
      <w:r w:rsidRPr="00E34E46">
        <w:t>E3. Envisager un programme de marchés réservés pour les personnes en situation de handicap</w:t>
      </w:r>
      <w:bookmarkEnd w:id="125"/>
      <w:bookmarkEnd w:id="126"/>
      <w:r w:rsidRPr="00E34E46">
        <w:t> </w:t>
      </w:r>
    </w:p>
    <w:p w14:paraId="605113BB" w14:textId="5DE85126" w:rsidR="00151C6D" w:rsidRPr="00E34E46" w:rsidRDefault="00151C6D" w:rsidP="00B56537">
      <w:r w:rsidRPr="00E34E46">
        <w:t xml:space="preserve">Les programmes de marchés réservés garantissent qu’un certain pourcentage de contrats sera réservé expressément aux entreprises appartenant à des personnes en situation de handicap. Ainsi, en plus d’offrir un nombre accru de possibilités à des entrepreneurs en situation de </w:t>
      </w:r>
      <w:r w:rsidRPr="00E34E46">
        <w:lastRenderedPageBreak/>
        <w:t>handicap, ces programmes encourageraient davantage de personnes en situation de handicap à créer une entreprise, sachant que des occasions de le faire leur sont dédiées (voir le rapport 2023 du BOA). Afin d’appuyer de tels programmes, les organisations devraient :</w:t>
      </w:r>
    </w:p>
    <w:p w14:paraId="13D5A7F9" w14:textId="0DDBE744" w:rsidR="009E268A" w:rsidRPr="00E34E46" w:rsidRDefault="00323F2A" w:rsidP="002401A9">
      <w:pPr>
        <w:pStyle w:val="ListParagraph"/>
        <w:numPr>
          <w:ilvl w:val="0"/>
          <w:numId w:val="24"/>
        </w:numPr>
        <w:ind w:hanging="720"/>
        <w:rPr>
          <w:b/>
          <w:bCs/>
        </w:rPr>
      </w:pPr>
      <w:proofErr w:type="gramStart"/>
      <w:r w:rsidRPr="00E34E46">
        <w:t>examiner</w:t>
      </w:r>
      <w:proofErr w:type="gramEnd"/>
      <w:r w:rsidRPr="00E34E46">
        <w:t xml:space="preserve"> attentivement le seuil de pourcentage des marchés réservés, qui devrait illustrer la disponibilité sur le marché du travail des personnes en situation de handicap, comme mentionné dans les rapports sur l’équité en matière d’emploi des divers secteurs d’activités sous réglementation fédérale. Ce pourcentage reflète et prend en compte la marginalisation historique des personnes en situation de handicap dans l’obtention et le maintien d’un emploi concurrentiel (voir </w:t>
      </w:r>
      <w:hyperlink r:id="rId13" w:history="1">
        <w:r w:rsidRPr="00E34E46">
          <w:rPr>
            <w:rStyle w:val="Hyperlink"/>
            <w:b/>
          </w:rPr>
          <w:t>Caractéristiques de l’activité sur le marché du travail des personnes ayant une incapacité et sans incapacité, 2023</w:t>
        </w:r>
      </w:hyperlink>
      <w:r w:rsidRPr="00E34E46">
        <w:rPr>
          <w:b/>
        </w:rPr>
        <w:t xml:space="preserve"> par Statistique Canada – Le Quotidien</w:t>
      </w:r>
      <w:r w:rsidRPr="00E34E46">
        <w:t>);</w:t>
      </w:r>
    </w:p>
    <w:p w14:paraId="216ED47D" w14:textId="475B4793" w:rsidR="00151C6D" w:rsidRPr="00E34E46" w:rsidRDefault="00151C6D" w:rsidP="002401A9">
      <w:pPr>
        <w:pStyle w:val="ListParagraph"/>
        <w:numPr>
          <w:ilvl w:val="0"/>
          <w:numId w:val="24"/>
        </w:numPr>
        <w:ind w:hanging="720"/>
      </w:pPr>
      <w:proofErr w:type="gramStart"/>
      <w:r w:rsidRPr="00E34E46">
        <w:t>dresser</w:t>
      </w:r>
      <w:proofErr w:type="gramEnd"/>
      <w:r w:rsidRPr="00E34E46">
        <w:t xml:space="preserve"> une liste des fournisseurs qui respecte la confidentialité et la vie privée des personnes qui y figurent (comme il est décrit au point E2.2);</w:t>
      </w:r>
    </w:p>
    <w:p w14:paraId="5E9E7E53" w14:textId="7EE85B55" w:rsidR="00151C6D" w:rsidRPr="00E34E46" w:rsidRDefault="00151C6D" w:rsidP="002401A9">
      <w:pPr>
        <w:pStyle w:val="ListParagraph"/>
        <w:numPr>
          <w:ilvl w:val="0"/>
          <w:numId w:val="24"/>
        </w:numPr>
        <w:ind w:hanging="720"/>
      </w:pPr>
      <w:proofErr w:type="gramStart"/>
      <w:r w:rsidRPr="00E34E46">
        <w:lastRenderedPageBreak/>
        <w:t>s’abstenir</w:t>
      </w:r>
      <w:proofErr w:type="gramEnd"/>
      <w:r w:rsidRPr="00E34E46">
        <w:t xml:space="preserve"> d’utiliser les données sur le handicap sélectionnées pour le programme de marchés réservés à d’autres fins que celles prévues lors de la collecte initiale;</w:t>
      </w:r>
    </w:p>
    <w:p w14:paraId="067834E0" w14:textId="57A1ED12" w:rsidR="00151C6D" w:rsidRPr="00E34E46" w:rsidRDefault="00151C6D" w:rsidP="002401A9">
      <w:pPr>
        <w:pStyle w:val="ListParagraph"/>
        <w:numPr>
          <w:ilvl w:val="0"/>
          <w:numId w:val="24"/>
        </w:numPr>
        <w:ind w:hanging="720"/>
      </w:pPr>
      <w:proofErr w:type="gramStart"/>
      <w:r w:rsidRPr="00E34E46">
        <w:t>préparer</w:t>
      </w:r>
      <w:proofErr w:type="gramEnd"/>
      <w:r w:rsidRPr="00E34E46">
        <w:t xml:space="preserve"> des documents de politique et de pratique qui permettent aux gestionnaires d’accéder au programme de marchés réservés;</w:t>
      </w:r>
    </w:p>
    <w:p w14:paraId="4C913630" w14:textId="3304C09F" w:rsidR="00151C6D" w:rsidRPr="00E34E46" w:rsidRDefault="00151C6D" w:rsidP="002401A9">
      <w:pPr>
        <w:pStyle w:val="ListParagraph"/>
        <w:numPr>
          <w:ilvl w:val="0"/>
          <w:numId w:val="24"/>
        </w:numPr>
        <w:ind w:hanging="720"/>
      </w:pPr>
      <w:proofErr w:type="gramStart"/>
      <w:r w:rsidRPr="00E34E46">
        <w:t>fournir</w:t>
      </w:r>
      <w:proofErr w:type="gramEnd"/>
      <w:r w:rsidRPr="00E34E46">
        <w:t xml:space="preserve"> des documents de formation à toutes les parties participant au mécanisme pour garantir l’efficacité de la mise en œuvre et de l’exécution;</w:t>
      </w:r>
    </w:p>
    <w:p w14:paraId="79D8B957" w14:textId="7F51E389" w:rsidR="00151C6D" w:rsidRPr="00E34E46" w:rsidRDefault="00151C6D" w:rsidP="002401A9">
      <w:pPr>
        <w:pStyle w:val="ListParagraph"/>
        <w:numPr>
          <w:ilvl w:val="0"/>
          <w:numId w:val="24"/>
        </w:numPr>
        <w:ind w:hanging="720"/>
      </w:pPr>
      <w:proofErr w:type="gramStart"/>
      <w:r w:rsidRPr="00E34E46">
        <w:t>vérifier</w:t>
      </w:r>
      <w:proofErr w:type="gramEnd"/>
      <w:r w:rsidRPr="00E34E46">
        <w:t xml:space="preserve"> si le portail d’inscription ou le processus pour le programme de marchés réservés est accessible et peut être utilisé par une grande diversité de fournisseurs ayant besoin d’accessibilité, en prévoyant une modalité de rechange pour les personnes qui ne peuvent pas accéder au site Web ou au système;</w:t>
      </w:r>
    </w:p>
    <w:p w14:paraId="0A4B40C2" w14:textId="585E5E2A" w:rsidR="00151C6D" w:rsidRPr="00E34E46" w:rsidRDefault="00BF5A39" w:rsidP="002401A9">
      <w:pPr>
        <w:pStyle w:val="ListParagraph"/>
        <w:numPr>
          <w:ilvl w:val="0"/>
          <w:numId w:val="24"/>
        </w:numPr>
        <w:ind w:hanging="720"/>
      </w:pPr>
      <w:proofErr w:type="gramStart"/>
      <w:r w:rsidRPr="00E34E46">
        <w:t>s’assurer</w:t>
      </w:r>
      <w:proofErr w:type="gramEnd"/>
      <w:r w:rsidRPr="00E34E46">
        <w:t xml:space="preserve"> que le programme de marchés réservés valorise l’expérience vécue des talents spécialisés dans l’attribution des DP, reconnaît ces talents, leur offre des diplômes ou ouvre la voie à l’obtention de tels diplômes, tout en les soutenant dans ce processus.</w:t>
      </w:r>
    </w:p>
    <w:p w14:paraId="6A9195BD" w14:textId="374F5942" w:rsidR="00623531" w:rsidRPr="00E34E46" w:rsidRDefault="00623531" w:rsidP="00B56537">
      <w:r w:rsidRPr="00E34E46">
        <w:lastRenderedPageBreak/>
        <w:t>Remarque : Vu l’incohérence des données probantes, nous ne pouvons pas prétendre qu’imposer aux entreprises de certifier qu’elles sont dirigées par des personnes en situation de handicap serait avantageux, et c’est pourquoi cette exigence a été exclue des recommandations.</w:t>
      </w:r>
    </w:p>
    <w:p w14:paraId="04001996" w14:textId="77777777" w:rsidR="00151C6D" w:rsidRPr="00E34E46" w:rsidRDefault="00151C6D" w:rsidP="00B56537">
      <w:pPr>
        <w:pStyle w:val="Heading4"/>
      </w:pPr>
      <w:bookmarkStart w:id="127" w:name="_Toc168722541"/>
      <w:bookmarkStart w:id="128" w:name="_Toc210828538"/>
      <w:r w:rsidRPr="00E34E46">
        <w:t>E4. Créer des occasions de réseautage pour les propriétaires de petites entreprises en situation de handicap</w:t>
      </w:r>
      <w:bookmarkEnd w:id="127"/>
      <w:bookmarkEnd w:id="128"/>
      <w:r w:rsidRPr="00E34E46">
        <w:t> </w:t>
      </w:r>
    </w:p>
    <w:p w14:paraId="12E2516F" w14:textId="48F8C4C3" w:rsidR="00151C6D" w:rsidRPr="00E34E46" w:rsidRDefault="00151C6D" w:rsidP="00B56537">
      <w:r w:rsidRPr="00E34E46">
        <w:t>Les occasions de réseautage peuvent ouvrir des portes aux propriétaires de petites entreprises en situation de handicap, notamment vers de nouveaux marchés, des partenariats stratégiques, des ressources et des possibilités d’affaires qui ne seraient pas accessibles autrement. Pour promouvoir de telles occasions, les organisations devraient faire ce qui suit :</w:t>
      </w:r>
    </w:p>
    <w:p w14:paraId="0F5ABCCF" w14:textId="77777777" w:rsidR="00151C6D" w:rsidRPr="00E34E46" w:rsidRDefault="00151C6D" w:rsidP="002401A9">
      <w:pPr>
        <w:pStyle w:val="ListParagraph"/>
        <w:numPr>
          <w:ilvl w:val="0"/>
          <w:numId w:val="25"/>
        </w:numPr>
        <w:ind w:hanging="720"/>
      </w:pPr>
      <w:proofErr w:type="gramStart"/>
      <w:r w:rsidRPr="00E34E46">
        <w:t>créer</w:t>
      </w:r>
      <w:proofErr w:type="gramEnd"/>
      <w:r w:rsidRPr="00E34E46">
        <w:t xml:space="preserve"> ou soutenir des réseaux de mentorat existants pour donner la chance aux personnes vivant avec divers handicaps de devenir des fournisseurs potentiels;</w:t>
      </w:r>
    </w:p>
    <w:p w14:paraId="270A0E7E" w14:textId="7A20174F" w:rsidR="00151C6D" w:rsidRPr="00E34E46" w:rsidRDefault="00151C6D" w:rsidP="002401A9">
      <w:pPr>
        <w:pStyle w:val="ListParagraph"/>
        <w:numPr>
          <w:ilvl w:val="0"/>
          <w:numId w:val="25"/>
        </w:numPr>
        <w:ind w:hanging="720"/>
      </w:pPr>
      <w:proofErr w:type="gramStart"/>
      <w:r w:rsidRPr="00E34E46">
        <w:lastRenderedPageBreak/>
        <w:t>organiser</w:t>
      </w:r>
      <w:proofErr w:type="gramEnd"/>
      <w:r w:rsidRPr="00E34E46">
        <w:t xml:space="preserve"> des événements de réseautage accessibles sous différents formats, dont en personne, en ligne et en format hybride (dans les régions rurales et éloignées);</w:t>
      </w:r>
    </w:p>
    <w:p w14:paraId="47DAC194" w14:textId="3C2B25D7" w:rsidR="00151C6D" w:rsidRPr="00E34E46" w:rsidRDefault="00151C6D" w:rsidP="002401A9">
      <w:pPr>
        <w:pStyle w:val="ListParagraph"/>
        <w:numPr>
          <w:ilvl w:val="0"/>
          <w:numId w:val="25"/>
        </w:numPr>
        <w:ind w:hanging="720"/>
      </w:pPr>
      <w:proofErr w:type="gramStart"/>
      <w:r w:rsidRPr="00E34E46">
        <w:t>garantir</w:t>
      </w:r>
      <w:proofErr w:type="gramEnd"/>
      <w:r w:rsidRPr="00E34E46">
        <w:t xml:space="preserve"> l’accessibilité physique à tous les événements destinés aux entrepreneurs participants pour permettre aux personnes en situation de handicap et aux autres une participation égale;</w:t>
      </w:r>
    </w:p>
    <w:p w14:paraId="13AA858B" w14:textId="5E57718F" w:rsidR="00151C6D" w:rsidRPr="00E34E46" w:rsidRDefault="00151C6D" w:rsidP="002401A9">
      <w:pPr>
        <w:pStyle w:val="ListParagraph"/>
        <w:numPr>
          <w:ilvl w:val="0"/>
          <w:numId w:val="25"/>
        </w:numPr>
        <w:ind w:hanging="720"/>
      </w:pPr>
      <w:proofErr w:type="gramStart"/>
      <w:r w:rsidRPr="00E34E46">
        <w:t>animer</w:t>
      </w:r>
      <w:proofErr w:type="gramEnd"/>
      <w:r w:rsidRPr="00E34E46">
        <w:t xml:space="preserve"> des événements de réseautage qui encouragent l’intersectionnalité et la diversité des perspectives, tout en incitant des personnes de différentes carrières et organisations communautaires à participer;</w:t>
      </w:r>
    </w:p>
    <w:p w14:paraId="0FD1F047" w14:textId="3CC6D6EC" w:rsidR="00151C6D" w:rsidRPr="00E34E46" w:rsidRDefault="00151C6D" w:rsidP="002401A9">
      <w:pPr>
        <w:pStyle w:val="ListParagraph"/>
        <w:numPr>
          <w:ilvl w:val="0"/>
          <w:numId w:val="25"/>
        </w:numPr>
        <w:ind w:hanging="720"/>
      </w:pPr>
      <w:proofErr w:type="gramStart"/>
      <w:r w:rsidRPr="00E34E46">
        <w:t>offrir</w:t>
      </w:r>
      <w:proofErr w:type="gramEnd"/>
      <w:r w:rsidRPr="00E34E46">
        <w:t xml:space="preserve"> des ateliers dérivés sur des sujets définis lors des occasions de réseautage pour et par des personnes en situation de handicap. </w:t>
      </w:r>
    </w:p>
    <w:p w14:paraId="03FB91EA" w14:textId="46DC973E" w:rsidR="00151C6D" w:rsidRPr="00E34E46" w:rsidRDefault="00151C6D" w:rsidP="00B56537">
      <w:pPr>
        <w:pStyle w:val="Heading3"/>
      </w:pPr>
      <w:bookmarkStart w:id="129" w:name="_Toc168722542"/>
      <w:bookmarkStart w:id="130" w:name="_Toc210828539"/>
      <w:r w:rsidRPr="00E34E46">
        <w:lastRenderedPageBreak/>
        <w:t>Thème F : Élaborer des cadres de responsabilité comprenant des mesures qui s’alignent sur les communautés locales et les attentes et valeurs de la société</w:t>
      </w:r>
      <w:bookmarkEnd w:id="129"/>
      <w:bookmarkEnd w:id="130"/>
    </w:p>
    <w:p w14:paraId="4255D947" w14:textId="5BAC6D97" w:rsidR="00130EFA" w:rsidRPr="00E34E46" w:rsidRDefault="00151C6D" w:rsidP="00B56537">
      <w:r w:rsidRPr="00E34E46">
        <w:t>Bien que la recherche sur l’approvisionnement accessible soit limitée, le besoin d’un cadre de responsabilisation a été mentionné comme priorité pour les personnes en situation de handicap. Il a également été testé par des professionnels chevronnés de l’approvisionnement accessible. Ce cadre devrait idéalement inclure des mesures internes et externes ainsi que des processus de production de rapports. La responsabilisation démontre un engagement, donne lieu à des pratiques efficaces d’assurance qualité et permet aux organisations d’apprendre au fil du temps. Il est possible de prendre des mesures significatives pour répondre aux préoccupations des intervenants et refléter l’évolution des valeurs sociétales.</w:t>
      </w:r>
    </w:p>
    <w:p w14:paraId="19B96F87" w14:textId="50C4C765" w:rsidR="00151C6D" w:rsidRPr="00E34E46" w:rsidRDefault="00151C6D" w:rsidP="00B56537">
      <w:pPr>
        <w:pStyle w:val="Heading4"/>
      </w:pPr>
      <w:bookmarkStart w:id="131" w:name="_Toc168722543"/>
      <w:bookmarkStart w:id="132" w:name="_Toc210828540"/>
      <w:r w:rsidRPr="00E34E46">
        <w:lastRenderedPageBreak/>
        <w:t>F1. Assurer un suivi du rendement et de l’assurance qualité</w:t>
      </w:r>
      <w:bookmarkEnd w:id="131"/>
      <w:bookmarkEnd w:id="132"/>
      <w:r w:rsidRPr="00E34E46">
        <w:t xml:space="preserve"> </w:t>
      </w:r>
    </w:p>
    <w:p w14:paraId="79F844BD" w14:textId="00F51041" w:rsidR="00151C6D" w:rsidRPr="00E34E46" w:rsidRDefault="00151C6D" w:rsidP="00B56537">
      <w:r w:rsidRPr="00E34E46">
        <w:t>Le suivi du rendement fait en sorte que les biens ou les services acquis répondent aux exigences d’accessibilité définies dans le contrat. Pour y parvenir, les organisations devraient :</w:t>
      </w:r>
    </w:p>
    <w:p w14:paraId="75C063D1" w14:textId="547D2B49" w:rsidR="008E6483" w:rsidRPr="00E34E46" w:rsidRDefault="00151C6D" w:rsidP="002401A9">
      <w:pPr>
        <w:pStyle w:val="ListParagraph"/>
        <w:numPr>
          <w:ilvl w:val="0"/>
          <w:numId w:val="26"/>
        </w:numPr>
        <w:ind w:hanging="720"/>
      </w:pPr>
      <w:proofErr w:type="gramStart"/>
      <w:r w:rsidRPr="00E34E46">
        <w:t>mettre</w:t>
      </w:r>
      <w:proofErr w:type="gramEnd"/>
      <w:r w:rsidRPr="00E34E46">
        <w:t xml:space="preserve"> en place un système pour surveiller la mise en œuvre des pratiques d’approvisionnement accessible intégrées dans les structures requises de production de rapports;</w:t>
      </w:r>
    </w:p>
    <w:p w14:paraId="70D39109" w14:textId="60F266A9" w:rsidR="001532FD" w:rsidRPr="00E34E46" w:rsidRDefault="001532FD" w:rsidP="002401A9">
      <w:pPr>
        <w:pStyle w:val="ListParagraph"/>
        <w:numPr>
          <w:ilvl w:val="0"/>
          <w:numId w:val="26"/>
        </w:numPr>
        <w:ind w:hanging="720"/>
      </w:pPr>
      <w:proofErr w:type="gramStart"/>
      <w:r w:rsidRPr="00E34E46">
        <w:t>envisager</w:t>
      </w:r>
      <w:proofErr w:type="gramEnd"/>
      <w:r w:rsidRPr="00E34E46">
        <w:t xml:space="preserve"> une approche fondée sur des données probantes pour cibler des mesures significatives et appropriées, y compris des résultats et des indicateurs quantitatifs et qualitatifs :</w:t>
      </w:r>
    </w:p>
    <w:p w14:paraId="7F6FFB87" w14:textId="617C62DA" w:rsidR="001532FD" w:rsidRPr="00E34E46" w:rsidRDefault="001532FD" w:rsidP="002401A9">
      <w:pPr>
        <w:pStyle w:val="ListParagraph"/>
        <w:numPr>
          <w:ilvl w:val="1"/>
          <w:numId w:val="26"/>
        </w:numPr>
        <w:ind w:hanging="720"/>
      </w:pPr>
      <w:proofErr w:type="gramStart"/>
      <w:r w:rsidRPr="00E34E46">
        <w:t>en</w:t>
      </w:r>
      <w:proofErr w:type="gramEnd"/>
      <w:r w:rsidRPr="00E34E46">
        <w:t xml:space="preserve"> raison du manque de données probantes, les organisations et les entités devraient idéalement s’adresser à des réseaux d’accessibilité et à des organisations reconnues pour leur expertise en accessibilité et en inclusion dans leur secteur d’activités afin de faciliter l’identification d’indicateurs judicieux;</w:t>
      </w:r>
    </w:p>
    <w:p w14:paraId="45F91872" w14:textId="4E595037" w:rsidR="00885F8B" w:rsidRPr="00E34E46" w:rsidRDefault="00885F8B" w:rsidP="002401A9">
      <w:pPr>
        <w:pStyle w:val="ListParagraph"/>
        <w:numPr>
          <w:ilvl w:val="0"/>
          <w:numId w:val="26"/>
        </w:numPr>
        <w:ind w:hanging="720"/>
      </w:pPr>
      <w:proofErr w:type="gramStart"/>
      <w:r w:rsidRPr="00E34E46">
        <w:lastRenderedPageBreak/>
        <w:t>envisager</w:t>
      </w:r>
      <w:proofErr w:type="gramEnd"/>
      <w:r w:rsidRPr="00E34E46">
        <w:t xml:space="preserve"> de développer des objectifs SMART (spécifiques, mesurables, appropriés, réalistes et temporels) dans le cadre d’un système d’évaluation. Ces objectifs peuvent être établis au niveau de l’équipe, du trimestre, de l’année et de l’organisation :</w:t>
      </w:r>
    </w:p>
    <w:p w14:paraId="61138C45" w14:textId="53671A42" w:rsidR="00885F8B" w:rsidRPr="00E34E46" w:rsidRDefault="00885F8B" w:rsidP="002401A9">
      <w:pPr>
        <w:pStyle w:val="ListParagraph"/>
        <w:numPr>
          <w:ilvl w:val="1"/>
          <w:numId w:val="26"/>
        </w:numPr>
        <w:ind w:hanging="720"/>
      </w:pPr>
      <w:proofErr w:type="gramStart"/>
      <w:r w:rsidRPr="00E34E46">
        <w:t>trouver</w:t>
      </w:r>
      <w:proofErr w:type="gramEnd"/>
      <w:r w:rsidRPr="00E34E46">
        <w:t xml:space="preserve"> des indicateurs et des mesures qui peuvent être utilisés en interne et qui sont significatifs à l’externe pour démontrer les progrès de l’organisation au fil du temps;</w:t>
      </w:r>
    </w:p>
    <w:p w14:paraId="6D41138E" w14:textId="35672C5F" w:rsidR="001532FD" w:rsidRPr="00E34E46" w:rsidRDefault="001532FD" w:rsidP="002401A9">
      <w:pPr>
        <w:pStyle w:val="ListParagraph"/>
        <w:numPr>
          <w:ilvl w:val="0"/>
          <w:numId w:val="26"/>
        </w:numPr>
        <w:ind w:hanging="720"/>
      </w:pPr>
      <w:proofErr w:type="gramStart"/>
      <w:r w:rsidRPr="00E34E46">
        <w:t>s’assurer</w:t>
      </w:r>
      <w:proofErr w:type="gramEnd"/>
      <w:r w:rsidRPr="00E34E46">
        <w:t xml:space="preserve"> que les résultats et les indicateurs de rendement clés se rapportent aux calendriers des projets d’approvisionnement accessible, au respect des ententes contractuelles, à l’exécution de la stratégie de correction et des solutions de contournement, ainsi qu’aux progrès réalisés entre le lancement progressif et le lancement officiel;</w:t>
      </w:r>
    </w:p>
    <w:p w14:paraId="76DCB980" w14:textId="521DFC8C" w:rsidR="00520C68" w:rsidRPr="00E34E46" w:rsidRDefault="00885F8B" w:rsidP="002401A9">
      <w:pPr>
        <w:pStyle w:val="ListParagraph"/>
        <w:numPr>
          <w:ilvl w:val="0"/>
          <w:numId w:val="26"/>
        </w:numPr>
        <w:ind w:hanging="720"/>
      </w:pPr>
      <w:proofErr w:type="gramStart"/>
      <w:r w:rsidRPr="00E34E46">
        <w:t>assurer</w:t>
      </w:r>
      <w:proofErr w:type="gramEnd"/>
      <w:r w:rsidRPr="00E34E46">
        <w:t xml:space="preserve"> un cadre d’évaluation accessible qui détermine les étapes importantes et les mesures de résultats pour chaque projet d’approvisionnement accessible ainsi que pour l’ensemble du plan de mise en œuvre de l’approvisionnement accessible. Le cadre d’évaluation devrait :</w:t>
      </w:r>
    </w:p>
    <w:p w14:paraId="030085A7" w14:textId="636E5E00" w:rsidR="00C7099F" w:rsidRPr="00E34E46" w:rsidRDefault="00C7099F" w:rsidP="002401A9">
      <w:pPr>
        <w:pStyle w:val="ListParagraph"/>
        <w:numPr>
          <w:ilvl w:val="1"/>
          <w:numId w:val="26"/>
        </w:numPr>
        <w:ind w:hanging="720"/>
      </w:pPr>
      <w:proofErr w:type="gramStart"/>
      <w:r w:rsidRPr="00E34E46">
        <w:t>encourager</w:t>
      </w:r>
      <w:proofErr w:type="gramEnd"/>
      <w:r w:rsidRPr="00E34E46">
        <w:t xml:space="preserve"> le signalement d’obstacles, que ce soit par les employés ou par le public;</w:t>
      </w:r>
    </w:p>
    <w:p w14:paraId="647F639D" w14:textId="1D3A9FB4" w:rsidR="00C7099F" w:rsidRPr="00E34E46" w:rsidRDefault="00C7099F" w:rsidP="002401A9">
      <w:pPr>
        <w:pStyle w:val="ListParagraph"/>
        <w:numPr>
          <w:ilvl w:val="1"/>
          <w:numId w:val="26"/>
        </w:numPr>
        <w:ind w:hanging="720"/>
      </w:pPr>
      <w:proofErr w:type="gramStart"/>
      <w:r w:rsidRPr="00E34E46">
        <w:lastRenderedPageBreak/>
        <w:t>inclure</w:t>
      </w:r>
      <w:proofErr w:type="gramEnd"/>
      <w:r w:rsidRPr="00E34E46">
        <w:t xml:space="preserve"> des mesures correctives, des calendriers et les résultats, dans la mesure du possible;</w:t>
      </w:r>
    </w:p>
    <w:p w14:paraId="2C7349C4" w14:textId="0D4B4579" w:rsidR="00885F8B" w:rsidRPr="00E34E46" w:rsidRDefault="00885F8B" w:rsidP="002401A9">
      <w:pPr>
        <w:pStyle w:val="ListParagraph"/>
        <w:numPr>
          <w:ilvl w:val="1"/>
          <w:numId w:val="26"/>
        </w:numPr>
        <w:ind w:hanging="720"/>
      </w:pPr>
      <w:proofErr w:type="gramStart"/>
      <w:r w:rsidRPr="00E34E46">
        <w:t>inclure</w:t>
      </w:r>
      <w:proofErr w:type="gramEnd"/>
      <w:r w:rsidRPr="00E34E46">
        <w:t xml:space="preserve"> l’expérience vécue dans le plan d’analyse ou l’examen des progrès réalisés.</w:t>
      </w:r>
    </w:p>
    <w:p w14:paraId="03867C1F" w14:textId="3001494D" w:rsidR="00151C6D" w:rsidRPr="00E34E46" w:rsidRDefault="00151C6D" w:rsidP="00B56537">
      <w:pPr>
        <w:pStyle w:val="Heading4"/>
      </w:pPr>
      <w:bookmarkStart w:id="133" w:name="_Toc168722544"/>
      <w:bookmarkStart w:id="134" w:name="_Toc210828541"/>
      <w:r w:rsidRPr="00E34E46">
        <w:t>F2. Favoriser une plus grande responsabilité organisationnelle</w:t>
      </w:r>
      <w:bookmarkEnd w:id="133"/>
      <w:r w:rsidRPr="00E34E46">
        <w:t xml:space="preserve"> en matière d’approvisionnement accessible</w:t>
      </w:r>
      <w:bookmarkEnd w:id="134"/>
    </w:p>
    <w:p w14:paraId="595450CE" w14:textId="1C19095C" w:rsidR="00151C6D" w:rsidRPr="00E34E46" w:rsidRDefault="00B34629" w:rsidP="00B56537">
      <w:r w:rsidRPr="00E34E46">
        <w:t>Un engagement envers l’approvisionnement accessible est mieux soutenu par une culture organisationnelle mature en matière d’accessibilité. Une organisation mature en matière d’accessibilité sera caractérisée par des rôles et des responsabilités clairement définis en matière d’approvisionnement accessible, une culture d’apprentissage en continu et une responsabilité organisationnelle à l’égard de divers groupes de parties prenantes.  Les organisations devraient :</w:t>
      </w:r>
    </w:p>
    <w:p w14:paraId="12ACDABC" w14:textId="0788BC5B" w:rsidR="00151C6D" w:rsidRPr="00E34E46" w:rsidRDefault="00001442" w:rsidP="002401A9">
      <w:pPr>
        <w:pStyle w:val="ListParagraph"/>
        <w:numPr>
          <w:ilvl w:val="0"/>
          <w:numId w:val="55"/>
        </w:numPr>
        <w:ind w:hanging="720"/>
      </w:pPr>
      <w:proofErr w:type="gramStart"/>
      <w:r w:rsidRPr="00E34E46">
        <w:t>publier</w:t>
      </w:r>
      <w:proofErr w:type="gramEnd"/>
      <w:r w:rsidRPr="00E34E46">
        <w:t xml:space="preserve"> chaque année un rapport annuel sur l’approvisionnement accessible, lequel est accessible au public, ainsi qu’un rapport interne à l’intention des décisionnaires;</w:t>
      </w:r>
    </w:p>
    <w:p w14:paraId="2BA837D9" w14:textId="23AEAFCC" w:rsidR="00001442" w:rsidRPr="00E34E46" w:rsidRDefault="00001442" w:rsidP="002401A9">
      <w:pPr>
        <w:pStyle w:val="ListParagraph"/>
        <w:numPr>
          <w:ilvl w:val="0"/>
          <w:numId w:val="55"/>
        </w:numPr>
        <w:ind w:hanging="720"/>
      </w:pPr>
      <w:proofErr w:type="gramStart"/>
      <w:r w:rsidRPr="00E34E46">
        <w:lastRenderedPageBreak/>
        <w:t>envisager</w:t>
      </w:r>
      <w:proofErr w:type="gramEnd"/>
      <w:r w:rsidRPr="00E34E46">
        <w:t xml:space="preserve"> l’utilisation de mécanismes de rapport déjà existants liés à la diversité, à l’équité et à l’inclusion pour aborder l’inclusion des personnes en situation de handicap et l’accessibilité;</w:t>
      </w:r>
    </w:p>
    <w:p w14:paraId="68FB82BD" w14:textId="185DEF86" w:rsidR="00001442" w:rsidRPr="00E34E46" w:rsidRDefault="00001442" w:rsidP="002401A9">
      <w:pPr>
        <w:pStyle w:val="ListParagraph"/>
        <w:numPr>
          <w:ilvl w:val="0"/>
          <w:numId w:val="55"/>
        </w:numPr>
        <w:ind w:hanging="720"/>
      </w:pPr>
      <w:proofErr w:type="gramStart"/>
      <w:r w:rsidRPr="00E34E46">
        <w:t>envisager</w:t>
      </w:r>
      <w:proofErr w:type="gramEnd"/>
      <w:r w:rsidRPr="00E34E46">
        <w:t xml:space="preserve"> l’ajout d’indicateurs de rendement pour l’approvisionnement accessible dans un tableau de bord national sur l’accessibilité, interne ou externe, ou d’engagements.</w:t>
      </w:r>
    </w:p>
    <w:p w14:paraId="058EA57E" w14:textId="2EBE9DC7" w:rsidR="00151C6D" w:rsidRPr="00E34E46" w:rsidRDefault="00151C6D" w:rsidP="00B56537">
      <w:pPr>
        <w:pStyle w:val="Heading4"/>
      </w:pPr>
      <w:bookmarkStart w:id="135" w:name="_Toc168722545"/>
      <w:bookmarkStart w:id="136" w:name="_Toc210828542"/>
      <w:r w:rsidRPr="00E34E46">
        <w:t>F3. Établir la gestion du changement, l’intégration et la mise en œuvre</w:t>
      </w:r>
      <w:bookmarkEnd w:id="135"/>
      <w:r w:rsidRPr="00E34E46">
        <w:t xml:space="preserve"> des systèmes</w:t>
      </w:r>
      <w:bookmarkEnd w:id="136"/>
    </w:p>
    <w:p w14:paraId="4C6F8041" w14:textId="23DF3A0D" w:rsidR="00151C6D" w:rsidRPr="00E34E46" w:rsidRDefault="00151C6D" w:rsidP="00B56537">
      <w:r w:rsidRPr="00E34E46">
        <w:t>La gestion du changement ou une théorie du changement oriente les organisations par le processus de transition suivant l’introduction d’une nouvelle technologie, d’un nouveau produit ou d’un nouveau service. Afin d’appuyer la mise en œuvre, l’organisation devrait :</w:t>
      </w:r>
    </w:p>
    <w:p w14:paraId="6C982144" w14:textId="7F9AFC8C" w:rsidR="00151C6D" w:rsidRPr="00E34E46" w:rsidRDefault="00151C6D" w:rsidP="002401A9">
      <w:pPr>
        <w:pStyle w:val="ListParagraph"/>
        <w:numPr>
          <w:ilvl w:val="0"/>
          <w:numId w:val="27"/>
        </w:numPr>
        <w:ind w:hanging="720"/>
      </w:pPr>
      <w:proofErr w:type="gramStart"/>
      <w:r w:rsidRPr="00E34E46">
        <w:t>envisager</w:t>
      </w:r>
      <w:proofErr w:type="gramEnd"/>
      <w:r w:rsidRPr="00E34E46">
        <w:t xml:space="preserve"> et créer une stratégie de gestion du changement pour les projets complexes d’approvisionnement accessible à l’échelle de l’organisation;</w:t>
      </w:r>
    </w:p>
    <w:p w14:paraId="4BD00C8E" w14:textId="77D78616" w:rsidR="006B1773" w:rsidRPr="00E34E46" w:rsidRDefault="006B1773" w:rsidP="002401A9">
      <w:pPr>
        <w:pStyle w:val="ListParagraph"/>
        <w:numPr>
          <w:ilvl w:val="0"/>
          <w:numId w:val="27"/>
        </w:numPr>
        <w:ind w:hanging="720"/>
      </w:pPr>
      <w:proofErr w:type="gramStart"/>
      <w:r w:rsidRPr="00E34E46">
        <w:lastRenderedPageBreak/>
        <w:t>régler</w:t>
      </w:r>
      <w:proofErr w:type="gramEnd"/>
      <w:r w:rsidRPr="00E34E46">
        <w:t xml:space="preserve"> tout problème d’accessibilité soulevé ou élaborer des solutions de contournement avant la mise en œuvre à l’échelle de l’organisation;</w:t>
      </w:r>
    </w:p>
    <w:p w14:paraId="128B33AB" w14:textId="77777777" w:rsidR="00001442" w:rsidRPr="00E34E46" w:rsidRDefault="00151C6D" w:rsidP="002401A9">
      <w:pPr>
        <w:pStyle w:val="ListParagraph"/>
        <w:numPr>
          <w:ilvl w:val="0"/>
          <w:numId w:val="27"/>
        </w:numPr>
        <w:ind w:hanging="720"/>
      </w:pPr>
      <w:proofErr w:type="gramStart"/>
      <w:r w:rsidRPr="00E34E46">
        <w:t>transmettre</w:t>
      </w:r>
      <w:proofErr w:type="gramEnd"/>
      <w:r w:rsidRPr="00E34E46">
        <w:t xml:space="preserve"> toute communication nécessaire aux intervenants concernés de l’organisation et au fournisseur, par exemple des délais de correction et le repérage de problèmes ou la documentation de toute préoccupation soulevée concernant l’accessibilité et la mise en œuvre :</w:t>
      </w:r>
    </w:p>
    <w:p w14:paraId="1423CAB5" w14:textId="223FE451" w:rsidR="00151C6D" w:rsidRPr="00E34E46" w:rsidRDefault="00521099" w:rsidP="002401A9">
      <w:pPr>
        <w:pStyle w:val="ListParagraph"/>
        <w:numPr>
          <w:ilvl w:val="1"/>
          <w:numId w:val="27"/>
        </w:numPr>
        <w:ind w:hanging="720"/>
      </w:pPr>
      <w:proofErr w:type="gramStart"/>
      <w:r w:rsidRPr="00E34E46">
        <w:t>dans</w:t>
      </w:r>
      <w:proofErr w:type="gramEnd"/>
      <w:r w:rsidRPr="00E34E46">
        <w:t xml:space="preserve"> le cadre de cette communication, les organisations devraient classer les préoccupations par ordre de priorité et fixer des délais pour les résoudre ou y remédier;</w:t>
      </w:r>
    </w:p>
    <w:p w14:paraId="3C243B4D" w14:textId="0826C7AD" w:rsidR="00151C6D" w:rsidRPr="00E34E46" w:rsidRDefault="00151C6D" w:rsidP="002401A9">
      <w:pPr>
        <w:pStyle w:val="ListParagraph"/>
        <w:numPr>
          <w:ilvl w:val="0"/>
          <w:numId w:val="27"/>
        </w:numPr>
        <w:ind w:hanging="720"/>
      </w:pPr>
      <w:proofErr w:type="gramStart"/>
      <w:r w:rsidRPr="00E34E46">
        <w:t>s’assurer</w:t>
      </w:r>
      <w:proofErr w:type="gramEnd"/>
      <w:r w:rsidRPr="00E34E46">
        <w:t xml:space="preserve"> que toute stratégie de gestion du changement traite des documents de formation accessibles et des ateliers obligatoires destinés aux employés et aux autres intervenants, en particulier les utilisateurs finaux :</w:t>
      </w:r>
    </w:p>
    <w:p w14:paraId="5503BFA1" w14:textId="1523E1FE" w:rsidR="00151C6D" w:rsidRPr="00E34E46" w:rsidRDefault="00521099" w:rsidP="002401A9">
      <w:pPr>
        <w:pStyle w:val="ListParagraph"/>
        <w:numPr>
          <w:ilvl w:val="1"/>
          <w:numId w:val="27"/>
        </w:numPr>
        <w:ind w:hanging="720"/>
      </w:pPr>
      <w:proofErr w:type="gramStart"/>
      <w:r w:rsidRPr="00E34E46">
        <w:t>cela</w:t>
      </w:r>
      <w:proofErr w:type="gramEnd"/>
      <w:r w:rsidRPr="00E34E46">
        <w:t xml:space="preserve"> peut exiger de préparer et de fournir des manuels d’utilisateur et autres documents accessibles pour le produit, à moins qu’il n’y en ait déjà;</w:t>
      </w:r>
    </w:p>
    <w:p w14:paraId="0BDB6858" w14:textId="52C6FFEE" w:rsidR="00151C6D" w:rsidRPr="00E34E46" w:rsidRDefault="00BA2014" w:rsidP="002401A9">
      <w:pPr>
        <w:pStyle w:val="ListParagraph"/>
        <w:numPr>
          <w:ilvl w:val="0"/>
          <w:numId w:val="27"/>
        </w:numPr>
        <w:ind w:hanging="720"/>
      </w:pPr>
      <w:proofErr w:type="gramStart"/>
      <w:r w:rsidRPr="00E34E46">
        <w:lastRenderedPageBreak/>
        <w:t>pour</w:t>
      </w:r>
      <w:proofErr w:type="gramEnd"/>
      <w:r w:rsidRPr="00E34E46">
        <w:t xml:space="preserve"> lancer la mise en œuvre, utiliser une approche de bac à sable ou des groupes pilotes, en s’appuyant sur la rétroaction en temps réel des utilisateurs finaux et sur un audit continu de l’accessibilité;</w:t>
      </w:r>
    </w:p>
    <w:p w14:paraId="3112A5C1" w14:textId="37551D43" w:rsidR="00151C6D" w:rsidRPr="00E34E46" w:rsidRDefault="00151C6D" w:rsidP="002401A9">
      <w:pPr>
        <w:pStyle w:val="ListParagraph"/>
        <w:numPr>
          <w:ilvl w:val="0"/>
          <w:numId w:val="27"/>
        </w:numPr>
        <w:ind w:hanging="720"/>
      </w:pPr>
      <w:proofErr w:type="gramStart"/>
      <w:r w:rsidRPr="00E34E46">
        <w:t>évaluer</w:t>
      </w:r>
      <w:proofErr w:type="gramEnd"/>
      <w:r w:rsidRPr="00E34E46">
        <w:t xml:space="preserve"> les niveaux de risque associés à une mise en œuvre qui repose sur des solutions de contournement en matière d’accessibilité, des mises à jour de produits ou des modifications à apporter au calendrier.</w:t>
      </w:r>
    </w:p>
    <w:p w14:paraId="336DBC0C" w14:textId="3F190A16" w:rsidR="00151C6D" w:rsidRPr="00E34E46" w:rsidRDefault="00151C6D" w:rsidP="00B56537">
      <w:pPr>
        <w:pStyle w:val="Heading4"/>
      </w:pPr>
      <w:bookmarkStart w:id="137" w:name="_Toc168722547"/>
      <w:bookmarkStart w:id="138" w:name="_Toc210828543"/>
      <w:r w:rsidRPr="00E34E46">
        <w:t xml:space="preserve">F4. Établir un </w:t>
      </w:r>
      <w:bookmarkEnd w:id="137"/>
      <w:r w:rsidRPr="00E34E46">
        <w:t>processus postérieur à la mise en œuvre</w:t>
      </w:r>
      <w:bookmarkEnd w:id="138"/>
    </w:p>
    <w:p w14:paraId="13D3F785" w14:textId="29737362" w:rsidR="00151C6D" w:rsidRPr="00E34E46" w:rsidRDefault="00160003" w:rsidP="00B56537">
      <w:r w:rsidRPr="00E34E46">
        <w:t xml:space="preserve">Le processus postérieur à la mise en œuvre garantit la réussite et la durabilité d’une initiative d’approvisionnement accessible. </w:t>
      </w:r>
      <w:proofErr w:type="gramStart"/>
      <w:r w:rsidRPr="00E34E46">
        <w:t>une</w:t>
      </w:r>
      <w:proofErr w:type="gramEnd"/>
      <w:r w:rsidRPr="00E34E46">
        <w:t xml:space="preserve"> fois que l’intégration et la mise en œuvre du produit, de l’installation ou du service sont entamées, l’organisation devrait :</w:t>
      </w:r>
    </w:p>
    <w:p w14:paraId="45CB7704" w14:textId="575057F9" w:rsidR="00151C6D" w:rsidRPr="00E34E46" w:rsidRDefault="00151C6D" w:rsidP="002401A9">
      <w:pPr>
        <w:pStyle w:val="ListParagraph"/>
        <w:numPr>
          <w:ilvl w:val="0"/>
          <w:numId w:val="28"/>
        </w:numPr>
        <w:ind w:hanging="720"/>
      </w:pPr>
      <w:proofErr w:type="gramStart"/>
      <w:r w:rsidRPr="00E34E46">
        <w:t>créer</w:t>
      </w:r>
      <w:proofErr w:type="gramEnd"/>
      <w:r w:rsidRPr="00E34E46">
        <w:t xml:space="preserve"> un mécanisme pour réaliser des tests fonctionnels et d’accessibilité en continu après l’intégration initiale du produit;</w:t>
      </w:r>
    </w:p>
    <w:p w14:paraId="3CBC0CFE" w14:textId="1B1AE99D" w:rsidR="00151C6D" w:rsidRPr="00E34E46" w:rsidRDefault="00151C6D" w:rsidP="002401A9">
      <w:pPr>
        <w:pStyle w:val="ListParagraph"/>
        <w:numPr>
          <w:ilvl w:val="0"/>
          <w:numId w:val="28"/>
        </w:numPr>
        <w:ind w:hanging="720"/>
      </w:pPr>
      <w:proofErr w:type="gramStart"/>
      <w:r w:rsidRPr="00E34E46">
        <w:t>fournir</w:t>
      </w:r>
      <w:proofErr w:type="gramEnd"/>
      <w:r w:rsidRPr="00E34E46">
        <w:t xml:space="preserve"> un mécanisme pour intégrer les problèmes signalés par les utilisateurs finaux dans les améliorations ou les mises à jour du produit, du service ou de l’installation (le cas échéant);</w:t>
      </w:r>
    </w:p>
    <w:p w14:paraId="154B4A89" w14:textId="15744125" w:rsidR="00151C6D" w:rsidRPr="00E34E46" w:rsidRDefault="00151C6D" w:rsidP="002401A9">
      <w:pPr>
        <w:pStyle w:val="ListParagraph"/>
        <w:numPr>
          <w:ilvl w:val="0"/>
          <w:numId w:val="28"/>
        </w:numPr>
        <w:ind w:hanging="720"/>
      </w:pPr>
      <w:proofErr w:type="gramStart"/>
      <w:r w:rsidRPr="00E34E46">
        <w:lastRenderedPageBreak/>
        <w:t>ajouter</w:t>
      </w:r>
      <w:proofErr w:type="gramEnd"/>
      <w:r w:rsidRPr="00E34E46">
        <w:t xml:space="preserve"> un mécanisme régulier de production de rapports avec des délais intégrés pour présenter la stratégie postérieure à la mise en œuvre. Ici, il faudrait idéalement un système de production de rapports pour les utilisateurs;</w:t>
      </w:r>
    </w:p>
    <w:p w14:paraId="04773095" w14:textId="404BD3FB" w:rsidR="00151C6D" w:rsidRPr="00E34E46" w:rsidRDefault="00151C6D" w:rsidP="002401A9">
      <w:pPr>
        <w:pStyle w:val="ListParagraph"/>
        <w:numPr>
          <w:ilvl w:val="0"/>
          <w:numId w:val="28"/>
        </w:numPr>
        <w:ind w:hanging="720"/>
      </w:pPr>
      <w:proofErr w:type="gramStart"/>
      <w:r w:rsidRPr="00E34E46">
        <w:t>faciliter</w:t>
      </w:r>
      <w:proofErr w:type="gramEnd"/>
      <w:r w:rsidRPr="00E34E46">
        <w:t xml:space="preserve"> une méthode de recherche qui recueille des commentaires d’une diversité d’utilisateurs finaux (Recueillir toutes les formes de rétroaction dans la mesure du possible, comme l’utilisabilité, l’accessibilité, la fonctionnalité, etc.);</w:t>
      </w:r>
    </w:p>
    <w:p w14:paraId="6B8F6A31" w14:textId="38102CEF" w:rsidR="00151C6D" w:rsidRPr="00E34E46" w:rsidRDefault="00151C6D" w:rsidP="002401A9">
      <w:pPr>
        <w:pStyle w:val="ListParagraph"/>
        <w:numPr>
          <w:ilvl w:val="0"/>
          <w:numId w:val="28"/>
        </w:numPr>
        <w:ind w:hanging="720"/>
      </w:pPr>
      <w:proofErr w:type="gramStart"/>
      <w:r w:rsidRPr="00E34E46">
        <w:t>intégrer</w:t>
      </w:r>
      <w:proofErr w:type="gramEnd"/>
      <w:r w:rsidRPr="00E34E46">
        <w:t xml:space="preserve"> un mécanisme qui permettra de déterminer et d’analyser la pertinence des critères d’accessibilité servant à évaluer le produit, le service ou l’installation et, par le fait même, son efficacité et sa faisabilité pour une utilisation future dans de nouveaux projets d’approvisionnement accessible.</w:t>
      </w:r>
    </w:p>
    <w:p w14:paraId="12DBFDD0" w14:textId="20667E3E" w:rsidR="00A004DF" w:rsidRPr="00E34E46" w:rsidRDefault="00A004DF" w:rsidP="00B56537">
      <w:pPr>
        <w:pStyle w:val="Heading4"/>
      </w:pPr>
      <w:bookmarkStart w:id="139" w:name="_Toc168722548"/>
      <w:bookmarkStart w:id="140" w:name="_Toc210828544"/>
      <w:r w:rsidRPr="00E34E46">
        <w:t>F5. Solliciter de la rétroaction en temps réel et des mesures correctives pour l’accessibilité</w:t>
      </w:r>
      <w:bookmarkEnd w:id="139"/>
      <w:bookmarkEnd w:id="140"/>
    </w:p>
    <w:p w14:paraId="1CA4DD8C" w14:textId="6326F415" w:rsidR="00A004DF" w:rsidRPr="00E34E46" w:rsidRDefault="00A004DF" w:rsidP="00B56537">
      <w:r w:rsidRPr="00E34E46">
        <w:t>Pour maintenir et améliorer l’accessibilité des produits et des services obtenus, l’organisation devrait :</w:t>
      </w:r>
    </w:p>
    <w:p w14:paraId="7BD3F42F" w14:textId="5F98A41D" w:rsidR="00A004DF" w:rsidRPr="00E34E46" w:rsidRDefault="00A004DF" w:rsidP="002401A9">
      <w:pPr>
        <w:pStyle w:val="ListParagraph"/>
        <w:numPr>
          <w:ilvl w:val="0"/>
          <w:numId w:val="29"/>
        </w:numPr>
        <w:ind w:hanging="720"/>
      </w:pPr>
      <w:proofErr w:type="gramStart"/>
      <w:r w:rsidRPr="00E34E46">
        <w:lastRenderedPageBreak/>
        <w:t>en</w:t>
      </w:r>
      <w:proofErr w:type="gramEnd"/>
      <w:r w:rsidRPr="00E34E46">
        <w:t xml:space="preserve"> collaboration avec le fournisseur, élaborer, le cas échéant, un processus et un mécanisme de gestion des plaintes afin que le service d’assistance et de dépannage du fournisseur soit accessible et </w:t>
      </w:r>
      <w:proofErr w:type="gramStart"/>
      <w:r w:rsidRPr="00E34E46">
        <w:t>le demeure accessible</w:t>
      </w:r>
      <w:proofErr w:type="gramEnd"/>
      <w:r w:rsidRPr="00E34E46">
        <w:t xml:space="preserve"> à long terme. Les problèmes d’accessibilité devraient être signalés à des professionnels ayant suffisamment d’expérience pour comprendre l’interopérabilité des technologies d’assistance ainsi que les normes et les lignes directrices relatives à l’accessibilité. Idéalement, un courriel ou un point de contact, voire un numéro de téléphone, devrait être envisagé;</w:t>
      </w:r>
    </w:p>
    <w:p w14:paraId="0D4BB559" w14:textId="6CD4C31E" w:rsidR="00A004DF" w:rsidRPr="00E34E46" w:rsidRDefault="00A004DF" w:rsidP="002401A9">
      <w:pPr>
        <w:pStyle w:val="ListParagraph"/>
        <w:numPr>
          <w:ilvl w:val="0"/>
          <w:numId w:val="29"/>
        </w:numPr>
        <w:ind w:hanging="720"/>
      </w:pPr>
      <w:proofErr w:type="gramStart"/>
      <w:r w:rsidRPr="00E34E46">
        <w:t>lier</w:t>
      </w:r>
      <w:proofErr w:type="gramEnd"/>
      <w:r w:rsidRPr="00E34E46">
        <w:t xml:space="preserve"> l’assurance qualité à un processus formel d’enquête interne, en particulier concernant les questions liées à l’accessibilité et à son intégration;</w:t>
      </w:r>
    </w:p>
    <w:p w14:paraId="2C78DDFE" w14:textId="394E3DAD" w:rsidR="00A004DF" w:rsidRPr="00E34E46" w:rsidRDefault="00A004DF" w:rsidP="002401A9">
      <w:pPr>
        <w:pStyle w:val="ListParagraph"/>
        <w:numPr>
          <w:ilvl w:val="0"/>
          <w:numId w:val="29"/>
        </w:numPr>
        <w:ind w:hanging="720"/>
      </w:pPr>
      <w:proofErr w:type="gramStart"/>
      <w:r w:rsidRPr="00E34E46">
        <w:t>s’assurer</w:t>
      </w:r>
      <w:proofErr w:type="gramEnd"/>
      <w:r w:rsidRPr="00E34E46">
        <w:t xml:space="preserve"> que les résultats de l’enquête sont communiqués au chef de projet et à l’équipe d’approvisionnement et qu’ils sont intégrés dans le plan d’accessibilité pluriannuel à l’échelle de l’organisation;</w:t>
      </w:r>
    </w:p>
    <w:p w14:paraId="04401E30" w14:textId="09A0DF5B" w:rsidR="00A004DF" w:rsidRPr="00E34E46" w:rsidRDefault="00A004DF" w:rsidP="002401A9">
      <w:pPr>
        <w:pStyle w:val="ListParagraph"/>
        <w:numPr>
          <w:ilvl w:val="0"/>
          <w:numId w:val="29"/>
        </w:numPr>
        <w:ind w:hanging="720"/>
      </w:pPr>
      <w:proofErr w:type="gramStart"/>
      <w:r w:rsidRPr="00E34E46">
        <w:t>établir</w:t>
      </w:r>
      <w:proofErr w:type="gramEnd"/>
      <w:r w:rsidRPr="00E34E46">
        <w:t xml:space="preserve"> des mécanismes de rétroaction en temps réel si les produits peuvent être mis jour à intervalles réguliers.</w:t>
      </w:r>
    </w:p>
    <w:p w14:paraId="662F0329" w14:textId="77777777" w:rsidR="00151C6D" w:rsidRPr="00E34E46" w:rsidRDefault="00151C6D" w:rsidP="00B56537">
      <w:pPr>
        <w:pStyle w:val="Heading4"/>
      </w:pPr>
      <w:bookmarkStart w:id="141" w:name="_Toc168722549"/>
      <w:bookmarkStart w:id="142" w:name="_Toc210828545"/>
      <w:r w:rsidRPr="00E34E46">
        <w:lastRenderedPageBreak/>
        <w:t>F6. Maintenir et gérer des relations de collaboration avec les fournisseurs</w:t>
      </w:r>
      <w:bookmarkEnd w:id="141"/>
      <w:bookmarkEnd w:id="142"/>
    </w:p>
    <w:p w14:paraId="34991A28" w14:textId="589A3938" w:rsidR="00151C6D" w:rsidRPr="00E34E46" w:rsidRDefault="00151C6D" w:rsidP="00B56537">
      <w:r w:rsidRPr="00E34E46">
        <w:t>Lorsqu’elles collaborent avec des fournisseurs sur différentes périodes et selon différents échéanciers, les organisations devraient envisager les actions suivantes :</w:t>
      </w:r>
    </w:p>
    <w:p w14:paraId="708D3756" w14:textId="7BA560CD" w:rsidR="00151C6D" w:rsidRPr="00E34E46" w:rsidRDefault="00151C6D" w:rsidP="002401A9">
      <w:pPr>
        <w:pStyle w:val="ListParagraph"/>
        <w:numPr>
          <w:ilvl w:val="0"/>
          <w:numId w:val="30"/>
        </w:numPr>
        <w:ind w:hanging="720"/>
      </w:pPr>
      <w:proofErr w:type="gramStart"/>
      <w:r w:rsidRPr="00E34E46">
        <w:t>maintenir</w:t>
      </w:r>
      <w:proofErr w:type="gramEnd"/>
      <w:r w:rsidRPr="00E34E46">
        <w:t xml:space="preserve"> un dialogue ouvert avec les fournisseurs;</w:t>
      </w:r>
    </w:p>
    <w:p w14:paraId="7490D108" w14:textId="127F81E6" w:rsidR="00151C6D" w:rsidRPr="00E34E46" w:rsidRDefault="00151C6D" w:rsidP="002401A9">
      <w:pPr>
        <w:pStyle w:val="ListParagraph"/>
        <w:numPr>
          <w:ilvl w:val="0"/>
          <w:numId w:val="30"/>
        </w:numPr>
        <w:ind w:hanging="720"/>
      </w:pPr>
      <w:proofErr w:type="gramStart"/>
      <w:r w:rsidRPr="00E34E46">
        <w:t>maintenir</w:t>
      </w:r>
      <w:proofErr w:type="gramEnd"/>
      <w:r w:rsidRPr="00E34E46">
        <w:t xml:space="preserve"> une liste à jour des fournisseurs actuels qui sont disponibles ou qui ont une expertise en approvisionnement accessible;</w:t>
      </w:r>
    </w:p>
    <w:p w14:paraId="72B0043C" w14:textId="40A71DE9" w:rsidR="00151C6D" w:rsidRPr="00E34E46" w:rsidRDefault="00151C6D" w:rsidP="002401A9">
      <w:pPr>
        <w:pStyle w:val="ListParagraph"/>
        <w:numPr>
          <w:ilvl w:val="0"/>
          <w:numId w:val="30"/>
        </w:numPr>
        <w:ind w:hanging="720"/>
      </w:pPr>
      <w:proofErr w:type="gramStart"/>
      <w:r w:rsidRPr="00E34E46">
        <w:t>s’assurer</w:t>
      </w:r>
      <w:proofErr w:type="gramEnd"/>
      <w:r w:rsidRPr="00E34E46">
        <w:t xml:space="preserve"> que les fournisseurs sont informés de tout changement potentiel dans les besoins organisationnels afin de garantir l’approvisionnement efficace en biens;</w:t>
      </w:r>
    </w:p>
    <w:p w14:paraId="659F5407" w14:textId="663346D0" w:rsidR="00151C6D" w:rsidRPr="00E34E46" w:rsidRDefault="00151C6D" w:rsidP="002401A9">
      <w:pPr>
        <w:pStyle w:val="ListParagraph"/>
        <w:numPr>
          <w:ilvl w:val="0"/>
          <w:numId w:val="30"/>
        </w:numPr>
        <w:ind w:hanging="720"/>
      </w:pPr>
      <w:proofErr w:type="gramStart"/>
      <w:r w:rsidRPr="00E34E46">
        <w:t>s’assurer</w:t>
      </w:r>
      <w:proofErr w:type="gramEnd"/>
      <w:r w:rsidRPr="00E34E46">
        <w:t xml:space="preserve"> que les fournisseurs sont informés de tout changement des politiques de l’organisation pouvant influer sur l’approvisionnement en biens;</w:t>
      </w:r>
    </w:p>
    <w:p w14:paraId="2C676F7B" w14:textId="58308B3A" w:rsidR="00151C6D" w:rsidRPr="00E34E46" w:rsidRDefault="000168FF" w:rsidP="002401A9">
      <w:pPr>
        <w:pStyle w:val="ListParagraph"/>
        <w:numPr>
          <w:ilvl w:val="0"/>
          <w:numId w:val="30"/>
        </w:numPr>
        <w:ind w:hanging="720"/>
      </w:pPr>
      <w:proofErr w:type="gramStart"/>
      <w:r w:rsidRPr="00E34E46">
        <w:t>maintenir</w:t>
      </w:r>
      <w:proofErr w:type="gramEnd"/>
      <w:r w:rsidRPr="00E34E46">
        <w:t xml:space="preserve"> une relation commerciale saine avec le fournisseur tout au long du processus d’approvisionnement accessible, en mettant l’accent sur des objectifs et des idées communs pour assurer la réussite.</w:t>
      </w:r>
    </w:p>
    <w:p w14:paraId="172C7A7B" w14:textId="668AE028" w:rsidR="00151C6D" w:rsidRPr="00E34E46" w:rsidRDefault="00151C6D" w:rsidP="00B56537">
      <w:pPr>
        <w:pStyle w:val="Heading4"/>
      </w:pPr>
      <w:bookmarkStart w:id="143" w:name="_Toc168722550"/>
      <w:bookmarkStart w:id="144" w:name="_Toc210828546"/>
      <w:r w:rsidRPr="00E34E46">
        <w:lastRenderedPageBreak/>
        <w:t>F7. Établir un mécanisme de règlement de conflits</w:t>
      </w:r>
      <w:bookmarkEnd w:id="143"/>
      <w:bookmarkEnd w:id="144"/>
    </w:p>
    <w:p w14:paraId="20638E63" w14:textId="24293AD2" w:rsidR="00151C6D" w:rsidRPr="00E34E46" w:rsidRDefault="00151C6D" w:rsidP="00B56537">
      <w:r w:rsidRPr="00E34E46">
        <w:t>En ce qui concerne l’approvisionnement accessible, les organisations devraient :</w:t>
      </w:r>
    </w:p>
    <w:p w14:paraId="265A2D4E" w14:textId="595A1EF7" w:rsidR="00151C6D" w:rsidRPr="00E34E46" w:rsidRDefault="00151C6D" w:rsidP="002401A9">
      <w:pPr>
        <w:pStyle w:val="ListParagraph"/>
        <w:numPr>
          <w:ilvl w:val="0"/>
          <w:numId w:val="31"/>
        </w:numPr>
        <w:ind w:hanging="720"/>
      </w:pPr>
      <w:proofErr w:type="gramStart"/>
      <w:r w:rsidRPr="00E34E46">
        <w:t>instaurer</w:t>
      </w:r>
      <w:proofErr w:type="gramEnd"/>
      <w:r w:rsidRPr="00E34E46">
        <w:t xml:space="preserve"> une approche multifacette et hybride de la résolution de conflits pour répondre aux besoins en accessibilité des différentes parties et pour favoriser une participation équitable;</w:t>
      </w:r>
    </w:p>
    <w:p w14:paraId="6C88CBCC" w14:textId="7162BCF9" w:rsidR="00151C6D" w:rsidRPr="00E34E46" w:rsidRDefault="002B7168" w:rsidP="002401A9">
      <w:pPr>
        <w:pStyle w:val="ListParagraph"/>
        <w:numPr>
          <w:ilvl w:val="0"/>
          <w:numId w:val="31"/>
        </w:numPr>
        <w:ind w:hanging="720"/>
      </w:pPr>
      <w:proofErr w:type="gramStart"/>
      <w:r w:rsidRPr="00E34E46">
        <w:t>intégrer</w:t>
      </w:r>
      <w:proofErr w:type="gramEnd"/>
      <w:r w:rsidRPr="00E34E46">
        <w:t xml:space="preserve"> de la souplesse dans le processus de règlement de conflits, au besoin, afin de répondre aux exigences d’accessibilité de toutes les parties concernées;</w:t>
      </w:r>
    </w:p>
    <w:p w14:paraId="56FF2F5E" w14:textId="73F89517" w:rsidR="00151C6D" w:rsidRPr="00E34E46" w:rsidRDefault="00151C6D" w:rsidP="002401A9">
      <w:pPr>
        <w:pStyle w:val="ListParagraph"/>
        <w:numPr>
          <w:ilvl w:val="0"/>
          <w:numId w:val="31"/>
        </w:numPr>
        <w:ind w:hanging="720"/>
      </w:pPr>
      <w:proofErr w:type="gramStart"/>
      <w:r w:rsidRPr="00E34E46">
        <w:t>établir</w:t>
      </w:r>
      <w:proofErr w:type="gramEnd"/>
      <w:r w:rsidRPr="00E34E46">
        <w:t xml:space="preserve"> une stratégie de communication pour informer les fournisseurs du mécanisme de règlement de conflits;</w:t>
      </w:r>
    </w:p>
    <w:p w14:paraId="16C91679" w14:textId="227C7E48" w:rsidR="00151C6D" w:rsidRPr="00E34E46" w:rsidRDefault="00151C6D" w:rsidP="002401A9">
      <w:pPr>
        <w:pStyle w:val="ListParagraph"/>
        <w:numPr>
          <w:ilvl w:val="0"/>
          <w:numId w:val="31"/>
        </w:numPr>
        <w:ind w:hanging="720"/>
      </w:pPr>
      <w:proofErr w:type="gramStart"/>
      <w:r w:rsidRPr="00E34E46">
        <w:t>créer</w:t>
      </w:r>
      <w:proofErr w:type="gramEnd"/>
      <w:r w:rsidRPr="00E34E46">
        <w:t xml:space="preserve"> une politique contenant une clause sur la résolution des conflits, intégrant un spécialiste en la matière qui comprend les enjeux de l’accessibilité et qui amènera les parties à trouver une solution significative et efficace;</w:t>
      </w:r>
    </w:p>
    <w:p w14:paraId="4C233A17" w14:textId="1D054B6D" w:rsidR="00151C6D" w:rsidRPr="00E34E46" w:rsidRDefault="00151C6D" w:rsidP="002401A9">
      <w:pPr>
        <w:pStyle w:val="ListParagraph"/>
        <w:numPr>
          <w:ilvl w:val="0"/>
          <w:numId w:val="31"/>
        </w:numPr>
        <w:ind w:hanging="720"/>
      </w:pPr>
      <w:proofErr w:type="gramStart"/>
      <w:r w:rsidRPr="00E34E46">
        <w:t>élaborer</w:t>
      </w:r>
      <w:proofErr w:type="gramEnd"/>
      <w:r w:rsidRPr="00E34E46">
        <w:t xml:space="preserve"> un mécanisme de confidentialité pour garantir que le succès futur d’un fournisseur n’est pas mis en péril s’il s’est déjà engagé dans le processus de règlement de conflits.</w:t>
      </w:r>
    </w:p>
    <w:p w14:paraId="7E786742" w14:textId="539EEF01" w:rsidR="00151C6D" w:rsidRPr="00E34E46" w:rsidRDefault="00151C6D" w:rsidP="00B56537">
      <w:pPr>
        <w:pStyle w:val="Heading3"/>
      </w:pPr>
      <w:bookmarkStart w:id="145" w:name="_Toc168722551"/>
      <w:bookmarkStart w:id="146" w:name="_Toc210828547"/>
      <w:r w:rsidRPr="00E34E46">
        <w:lastRenderedPageBreak/>
        <w:t xml:space="preserve">Thème G : </w:t>
      </w:r>
      <w:bookmarkStart w:id="147" w:name="_Hlk167187088"/>
      <w:r w:rsidRPr="00E34E46">
        <w:t>Recommandations propres aux gouvernements provinciaux et fédéral</w:t>
      </w:r>
      <w:bookmarkEnd w:id="145"/>
      <w:bookmarkEnd w:id="146"/>
      <w:bookmarkEnd w:id="147"/>
    </w:p>
    <w:p w14:paraId="6C1E462F" w14:textId="0CDCB96B" w:rsidR="00151C6D" w:rsidRPr="00E34E46" w:rsidRDefault="00151C6D" w:rsidP="00B56537">
      <w:r w:rsidRPr="00E34E46">
        <w:t>Des forces extérieures élargies influent également sur l’approvisionnement accessible. Ces domaines relèvent des compétences provinciales et fédérales et n’ont aucune incidence directe sur l’approvisionnement par l’organisation ou le service. Ils peuvent néanmoins influencer les attitudes et les approches relatives à l’approvisionnement accessible, qui doivent être prises en compte.</w:t>
      </w:r>
    </w:p>
    <w:p w14:paraId="607778FA" w14:textId="7A0792FD" w:rsidR="00151C6D" w:rsidRPr="00E34E46" w:rsidRDefault="00151C6D" w:rsidP="00B56537">
      <w:pPr>
        <w:pStyle w:val="Heading4"/>
      </w:pPr>
      <w:bookmarkStart w:id="148" w:name="_Toc168722552"/>
      <w:bookmarkStart w:id="149" w:name="_Toc210828548"/>
      <w:r w:rsidRPr="00E34E46">
        <w:t>G1. Veiller à ce que tous les ordres de gouvernement élaborent des outils d’apprentissage et des guides à un stade précoce afin de préparer la mise en œuvre et l’adoption de la législation.</w:t>
      </w:r>
      <w:bookmarkEnd w:id="148"/>
      <w:bookmarkEnd w:id="149"/>
    </w:p>
    <w:p w14:paraId="6268EB0E" w14:textId="77866618" w:rsidR="00151C6D" w:rsidRPr="00E34E46" w:rsidRDefault="00C97026" w:rsidP="00B56537">
      <w:r w:rsidRPr="00E34E46">
        <w:t xml:space="preserve">Les documents sur les exigences législatives devraient soutenir la mise en œuvre et favoriser l’adoption de l’approvisionnement accessible pour les professionnels de l’approvisionnement et les décisionnaires. Les </w:t>
      </w:r>
      <w:r w:rsidRPr="00E34E46">
        <w:lastRenderedPageBreak/>
        <w:t>gouvernements (fédéral ou provinciaux) devraient envisager ce qui suit en fonction de leur territoire de compétence :</w:t>
      </w:r>
    </w:p>
    <w:p w14:paraId="6E0E68ED" w14:textId="77777777" w:rsidR="00151C6D" w:rsidRPr="00E34E46" w:rsidRDefault="00151C6D" w:rsidP="002401A9">
      <w:pPr>
        <w:pStyle w:val="ListParagraph"/>
        <w:numPr>
          <w:ilvl w:val="1"/>
          <w:numId w:val="18"/>
        </w:numPr>
        <w:ind w:left="720" w:hanging="720"/>
      </w:pPr>
      <w:proofErr w:type="gramStart"/>
      <w:r w:rsidRPr="00E34E46">
        <w:t>cibler</w:t>
      </w:r>
      <w:proofErr w:type="gramEnd"/>
      <w:r w:rsidRPr="00E34E46">
        <w:t>, élaborer et communiquer des études de cas pour promouvoir les leçons apprises et les résultats positifs;</w:t>
      </w:r>
    </w:p>
    <w:p w14:paraId="39DC3B11" w14:textId="6F2B6212" w:rsidR="00151C6D" w:rsidRPr="00E34E46" w:rsidRDefault="00151C6D" w:rsidP="002401A9">
      <w:pPr>
        <w:pStyle w:val="ListParagraph"/>
        <w:numPr>
          <w:ilvl w:val="1"/>
          <w:numId w:val="18"/>
        </w:numPr>
        <w:ind w:left="720" w:hanging="720"/>
      </w:pPr>
      <w:proofErr w:type="gramStart"/>
      <w:r w:rsidRPr="00E34E46">
        <w:t>favoriser</w:t>
      </w:r>
      <w:proofErr w:type="gramEnd"/>
      <w:r w:rsidRPr="00E34E46">
        <w:t xml:space="preserve"> la croissance de réseaux nationaux d’approvisionnement accessible et l’offre d’un soutien financier dédié aux programmes de formation sur l’accessibilité, notamment au sein des associations de certification en approvisionnement, à l’École de la fonction publique et dans les établissements d’enseignement postsecondaire;</w:t>
      </w:r>
    </w:p>
    <w:p w14:paraId="3F7B1ABD" w14:textId="09B1729B" w:rsidR="003B2963" w:rsidRPr="00E34E46" w:rsidRDefault="003B2963" w:rsidP="002401A9">
      <w:pPr>
        <w:pStyle w:val="ListParagraph"/>
        <w:numPr>
          <w:ilvl w:val="1"/>
          <w:numId w:val="18"/>
        </w:numPr>
        <w:ind w:left="720" w:hanging="720"/>
      </w:pPr>
      <w:proofErr w:type="gramStart"/>
      <w:r w:rsidRPr="00E34E46">
        <w:t>encourager</w:t>
      </w:r>
      <w:proofErr w:type="gramEnd"/>
      <w:r w:rsidRPr="00E34E46">
        <w:t xml:space="preserve"> et mettre en valeur des projets pilotes ou des projets innovants en matière d’approvisionnement accessible.</w:t>
      </w:r>
    </w:p>
    <w:p w14:paraId="50D2D577" w14:textId="77777777" w:rsidR="00151C6D" w:rsidRPr="00E34E46" w:rsidRDefault="00151C6D" w:rsidP="00B56537">
      <w:pPr>
        <w:pStyle w:val="Heading4"/>
      </w:pPr>
      <w:bookmarkStart w:id="150" w:name="_Toc168722553"/>
      <w:bookmarkStart w:id="151" w:name="_Toc210828549"/>
      <w:r w:rsidRPr="00E34E46">
        <w:t>G2. Prendre en compte les besoins des personnes en situation de handicap dans le cadre des accords commerciaux équitables, des négociations et de la rédaction des documents</w:t>
      </w:r>
      <w:bookmarkEnd w:id="150"/>
      <w:bookmarkEnd w:id="151"/>
      <w:r w:rsidRPr="00E34E46">
        <w:t> </w:t>
      </w:r>
    </w:p>
    <w:p w14:paraId="43540B59" w14:textId="44A8AE7E" w:rsidR="00151C6D" w:rsidRPr="00E34E46" w:rsidRDefault="00151C6D" w:rsidP="00B56537">
      <w:r w:rsidRPr="00E34E46">
        <w:t xml:space="preserve">L’Organisation mondiale du commerce et les différents traités reposent sur une langue juridique et des principes clés pour constituer les directives </w:t>
      </w:r>
      <w:r w:rsidRPr="00E34E46">
        <w:lastRenderedPageBreak/>
        <w:t>de mise en œuvre destinées aux gouvernements du monde entier et aux parties visées par les traités. La conceptualisation de l’équité et de la transparence influence différemment les personnes en situation de handicap à l’occasion des procédures et des processus institutionnels. Par conséquent, les gouvernements devraient explorer les effets qu’ont ces principes sur l’inclusion de ces personnes :</w:t>
      </w:r>
    </w:p>
    <w:p w14:paraId="0A443C5D" w14:textId="6E5E45B2" w:rsidR="00151C6D" w:rsidRPr="00E34E46" w:rsidRDefault="00151C6D" w:rsidP="002401A9">
      <w:pPr>
        <w:pStyle w:val="ListParagraph"/>
        <w:numPr>
          <w:ilvl w:val="1"/>
          <w:numId w:val="34"/>
        </w:numPr>
        <w:ind w:left="720" w:hanging="720"/>
      </w:pPr>
      <w:proofErr w:type="gramStart"/>
      <w:r w:rsidRPr="00E34E46">
        <w:t>intégrer</w:t>
      </w:r>
      <w:proofErr w:type="gramEnd"/>
      <w:r w:rsidRPr="00E34E46">
        <w:t xml:space="preserve"> des mesures d’accessibilité dans les rapports annuels du Bureau de l’</w:t>
      </w:r>
      <w:proofErr w:type="spellStart"/>
      <w:r w:rsidRPr="00E34E46">
        <w:t>ombud</w:t>
      </w:r>
      <w:proofErr w:type="spellEnd"/>
      <w:r w:rsidRPr="00E34E46">
        <w:t xml:space="preserve"> de l’approvisionnement et du Tribunal canadien du commerce extérieur;</w:t>
      </w:r>
    </w:p>
    <w:p w14:paraId="76CC65E4" w14:textId="2C627670" w:rsidR="00151C6D" w:rsidRPr="00E34E46" w:rsidRDefault="00151C6D" w:rsidP="002401A9">
      <w:pPr>
        <w:pStyle w:val="ListParagraph"/>
        <w:numPr>
          <w:ilvl w:val="1"/>
          <w:numId w:val="34"/>
        </w:numPr>
        <w:ind w:left="720" w:hanging="720"/>
      </w:pPr>
      <w:proofErr w:type="gramStart"/>
      <w:r w:rsidRPr="00E34E46">
        <w:t>faire</w:t>
      </w:r>
      <w:proofErr w:type="gramEnd"/>
      <w:r w:rsidRPr="00E34E46">
        <w:t xml:space="preserve"> preuve de leadership quant au maintien des différentes approches de la transparence et de l’équité grâce à un approvisionnement accessible, sans enfreindre les principes des accords commerciaux;</w:t>
      </w:r>
    </w:p>
    <w:p w14:paraId="1A6DDF2E" w14:textId="31A4B2EE" w:rsidR="00151C6D" w:rsidRPr="00E34E46" w:rsidRDefault="00151C6D" w:rsidP="002401A9">
      <w:pPr>
        <w:pStyle w:val="ListParagraph"/>
        <w:numPr>
          <w:ilvl w:val="1"/>
          <w:numId w:val="34"/>
        </w:numPr>
        <w:ind w:left="720" w:hanging="720"/>
      </w:pPr>
      <w:proofErr w:type="gramStart"/>
      <w:r w:rsidRPr="00E34E46">
        <w:t>faire</w:t>
      </w:r>
      <w:proofErr w:type="gramEnd"/>
      <w:r w:rsidRPr="00E34E46">
        <w:t xml:space="preserve"> en sorte que le libellé et les principes des futurs accords commerciaux tiennent compte de leur incidence sur les personnes en situation de handicap;</w:t>
      </w:r>
    </w:p>
    <w:p w14:paraId="0417AB3A" w14:textId="77777777" w:rsidR="00151C6D" w:rsidRPr="00E34E46" w:rsidRDefault="00151C6D" w:rsidP="002401A9">
      <w:pPr>
        <w:pStyle w:val="ListParagraph"/>
        <w:numPr>
          <w:ilvl w:val="1"/>
          <w:numId w:val="34"/>
        </w:numPr>
        <w:ind w:left="720" w:hanging="720"/>
      </w:pPr>
      <w:proofErr w:type="gramStart"/>
      <w:r w:rsidRPr="00E34E46">
        <w:t>effectuer</w:t>
      </w:r>
      <w:proofErr w:type="gramEnd"/>
      <w:r w:rsidRPr="00E34E46">
        <w:t xml:space="preserve"> un examen des droits de la personne en ce qui a trait à l’approvisionnement accessible et relever les répercussions sur la vie, </w:t>
      </w:r>
      <w:r w:rsidRPr="00E34E46">
        <w:lastRenderedPageBreak/>
        <w:t>l’évolution de la carrière et l’accès aux services des personnes en situation de handicap.</w:t>
      </w:r>
    </w:p>
    <w:p w14:paraId="1B107670" w14:textId="5A21F8AE" w:rsidR="00151C6D" w:rsidRPr="00E34E46" w:rsidRDefault="00151C6D" w:rsidP="00B56537">
      <w:pPr>
        <w:pStyle w:val="Heading4"/>
      </w:pPr>
      <w:bookmarkStart w:id="152" w:name="_Toc168722554"/>
      <w:bookmarkStart w:id="153" w:name="_Toc210828550"/>
      <w:r w:rsidRPr="00E34E46">
        <w:t>G3. Créer un service de surveillance du secteur qui fournit des données probantes sur le niveau de maturité en matière d’accessibilité des divers secteurs et marchés</w:t>
      </w:r>
      <w:bookmarkEnd w:id="152"/>
      <w:bookmarkEnd w:id="153"/>
    </w:p>
    <w:p w14:paraId="619C5A29" w14:textId="606E07E7" w:rsidR="00151C6D" w:rsidRPr="00E34E46" w:rsidRDefault="00151C6D" w:rsidP="00B56537">
      <w:r w:rsidRPr="00E34E46">
        <w:t>Comme les dirigeants du secteur préfèrent obtenir des conseils et de l’orientation auprès des secteurs d’activités comparables au leur, les gouvernements peuvent jouer un rôle d’importance dans la réglementation et la surveillance de l’accessibilité. Les différents ordres de gouvernement devraient envisager ce qui suit :</w:t>
      </w:r>
    </w:p>
    <w:p w14:paraId="234E6C26" w14:textId="64AA301A" w:rsidR="00377923" w:rsidRPr="00E34E46" w:rsidRDefault="00377923" w:rsidP="002401A9">
      <w:pPr>
        <w:pStyle w:val="ListParagraph"/>
        <w:numPr>
          <w:ilvl w:val="1"/>
          <w:numId w:val="33"/>
        </w:numPr>
        <w:ind w:left="720" w:hanging="720"/>
      </w:pPr>
      <w:proofErr w:type="gramStart"/>
      <w:r w:rsidRPr="00E34E46">
        <w:t>trouver</w:t>
      </w:r>
      <w:proofErr w:type="gramEnd"/>
      <w:r w:rsidRPr="00E34E46">
        <w:t xml:space="preserve"> des sources de données pertinentes pour aider les professionnels de l’accessibilité à constituer des preuves solides et à élaborer des études de cas;</w:t>
      </w:r>
    </w:p>
    <w:p w14:paraId="5F31B2E7" w14:textId="1B455041" w:rsidR="00377923" w:rsidRPr="00E34E46" w:rsidRDefault="00151C6D" w:rsidP="002401A9">
      <w:pPr>
        <w:pStyle w:val="ListParagraph"/>
        <w:numPr>
          <w:ilvl w:val="1"/>
          <w:numId w:val="33"/>
        </w:numPr>
        <w:ind w:left="720" w:hanging="720"/>
      </w:pPr>
      <w:proofErr w:type="gramStart"/>
      <w:r w:rsidRPr="00E34E46">
        <w:t>créer</w:t>
      </w:r>
      <w:proofErr w:type="gramEnd"/>
      <w:r w:rsidRPr="00E34E46">
        <w:t xml:space="preserve"> des sources de données pour promouvoir les bienfaits de l’accessibilité, notamment :</w:t>
      </w:r>
    </w:p>
    <w:p w14:paraId="33278C90" w14:textId="1CA7B6CC" w:rsidR="003D7179" w:rsidRPr="00E34E46" w:rsidRDefault="00377923" w:rsidP="002401A9">
      <w:pPr>
        <w:pStyle w:val="ListParagraph"/>
        <w:numPr>
          <w:ilvl w:val="2"/>
          <w:numId w:val="33"/>
        </w:numPr>
        <w:tabs>
          <w:tab w:val="clear" w:pos="2160"/>
        </w:tabs>
        <w:ind w:left="1440" w:hanging="720"/>
      </w:pPr>
      <w:proofErr w:type="gramStart"/>
      <w:r w:rsidRPr="00E34E46">
        <w:t>mener</w:t>
      </w:r>
      <w:proofErr w:type="gramEnd"/>
      <w:r w:rsidRPr="00E34E46">
        <w:t>, dans les divers secteurs, des examens de préparation sur l’inclusion des personnes en situation de handicap;</w:t>
      </w:r>
    </w:p>
    <w:p w14:paraId="22D79C31" w14:textId="3701EB7B" w:rsidR="00377923" w:rsidRPr="00E34E46" w:rsidRDefault="00177C86" w:rsidP="002401A9">
      <w:pPr>
        <w:pStyle w:val="ListParagraph"/>
        <w:numPr>
          <w:ilvl w:val="2"/>
          <w:numId w:val="33"/>
        </w:numPr>
        <w:tabs>
          <w:tab w:val="clear" w:pos="2160"/>
        </w:tabs>
        <w:ind w:left="1440" w:hanging="720"/>
      </w:pPr>
      <w:proofErr w:type="gramStart"/>
      <w:r w:rsidRPr="00E34E46">
        <w:lastRenderedPageBreak/>
        <w:t>entreprendre</w:t>
      </w:r>
      <w:proofErr w:type="gramEnd"/>
      <w:r w:rsidRPr="00E34E46">
        <w:t xml:space="preserve"> des analyses économiques comme des études coûts-avantages sur l’accessibilité;</w:t>
      </w:r>
    </w:p>
    <w:p w14:paraId="463BCEEE" w14:textId="2CEFE1AD" w:rsidR="00151C6D" w:rsidRPr="00E34E46" w:rsidRDefault="00177C86" w:rsidP="002401A9">
      <w:pPr>
        <w:pStyle w:val="ListParagraph"/>
        <w:numPr>
          <w:ilvl w:val="2"/>
          <w:numId w:val="33"/>
        </w:numPr>
        <w:tabs>
          <w:tab w:val="clear" w:pos="2160"/>
        </w:tabs>
        <w:ind w:left="1440" w:hanging="720"/>
      </w:pPr>
      <w:proofErr w:type="gramStart"/>
      <w:r w:rsidRPr="00E34E46">
        <w:t>réaliser</w:t>
      </w:r>
      <w:proofErr w:type="gramEnd"/>
      <w:r w:rsidRPr="00E34E46">
        <w:t xml:space="preserve"> ou commander des enquêtes nationales pour surveiller l’accessibilité dans les organisations canadiennes;</w:t>
      </w:r>
    </w:p>
    <w:p w14:paraId="08AA2C5D" w14:textId="08A13EB9" w:rsidR="00725F22" w:rsidRPr="00E34E46" w:rsidRDefault="00177C86" w:rsidP="002401A9">
      <w:pPr>
        <w:pStyle w:val="ListParagraph"/>
        <w:numPr>
          <w:ilvl w:val="1"/>
          <w:numId w:val="33"/>
        </w:numPr>
        <w:ind w:left="720" w:hanging="720"/>
      </w:pPr>
      <w:proofErr w:type="gramStart"/>
      <w:r w:rsidRPr="00E34E46">
        <w:t>soutenir</w:t>
      </w:r>
      <w:proofErr w:type="gramEnd"/>
      <w:r w:rsidRPr="00E34E46">
        <w:t xml:space="preserve"> la croissance d’organismes consultatifs et de réseaux sur l’accessibilité dans les municipalités, qui peuvent partager des connaissances, constituer des données probantes et de nouvelles pratiques de suivi et d’évaluation, qui sont déjà expérimentées à l’échelle municipale en matière d’approvisionnement accessible.</w:t>
      </w:r>
      <w:bookmarkStart w:id="154" w:name="_Toc168722583"/>
    </w:p>
    <w:p w14:paraId="29E354D0" w14:textId="77777777" w:rsidR="00177C86" w:rsidRPr="00E34E46" w:rsidRDefault="00177C86">
      <w:pPr>
        <w:spacing w:before="0" w:after="160" w:line="259" w:lineRule="auto"/>
        <w:ind w:firstLine="0"/>
        <w:textAlignment w:val="auto"/>
        <w:rPr>
          <w:rFonts w:cstheme="majorBidi"/>
          <w:b/>
          <w:bCs/>
          <w:sz w:val="36"/>
          <w:szCs w:val="36"/>
        </w:rPr>
      </w:pPr>
      <w:r w:rsidRPr="00E34E46">
        <w:br w:type="page"/>
      </w:r>
    </w:p>
    <w:p w14:paraId="3BD7D0F8" w14:textId="218296E3" w:rsidR="00695578" w:rsidRPr="00E34E46" w:rsidRDefault="00071607" w:rsidP="00B56537">
      <w:pPr>
        <w:pStyle w:val="Heading2"/>
      </w:pPr>
      <w:bookmarkStart w:id="155" w:name="_Toc224836479"/>
      <w:bookmarkStart w:id="156" w:name="_Toc224836707"/>
      <w:r w:rsidRPr="00E34E46">
        <w:lastRenderedPageBreak/>
        <w:t>Chapitre 5 : Trouver et regrouper des données probantes</w:t>
      </w:r>
      <w:bookmarkEnd w:id="155"/>
      <w:bookmarkEnd w:id="156"/>
    </w:p>
    <w:p w14:paraId="72C5F092" w14:textId="4EFD2754" w:rsidR="00064B9F" w:rsidRPr="00E34E46" w:rsidRDefault="003C6BEF" w:rsidP="00B56537">
      <w:pPr>
        <w:pStyle w:val="Heading3"/>
      </w:pPr>
      <w:bookmarkStart w:id="157" w:name="_Toc168722571"/>
      <w:bookmarkStart w:id="158" w:name="_Toc175675197"/>
      <w:bookmarkStart w:id="159" w:name="_Toc210828552"/>
      <w:r w:rsidRPr="00E34E46">
        <w:t>5.1 Étude de cas : trouver un système de paie accessible </w:t>
      </w:r>
      <w:bookmarkEnd w:id="157"/>
      <w:bookmarkEnd w:id="158"/>
      <w:bookmarkEnd w:id="159"/>
      <w:r w:rsidRPr="00E34E46">
        <w:t> </w:t>
      </w:r>
    </w:p>
    <w:p w14:paraId="72F81252" w14:textId="4FF1C1B6" w:rsidR="00064B9F" w:rsidRPr="00E34E46" w:rsidRDefault="003217E6" w:rsidP="00B56537">
      <w:r w:rsidRPr="00E34E46">
        <w:t xml:space="preserve">L’organisation A </w:t>
      </w:r>
      <w:proofErr w:type="spellStart"/>
      <w:r w:rsidRPr="00E34E46">
        <w:t>a</w:t>
      </w:r>
      <w:proofErr w:type="spellEnd"/>
      <w:r w:rsidRPr="00E34E46">
        <w:t xml:space="preserve"> récemment migré son logiciel de paie vers une nouvelle plateforme. Le dernier système consiste en une plateforme tout-en-un en nuage qui sert à la gestion des employés, au traitement de la paie, au suivi des présences, à la gestion des talents et à d’autres processus liés aux personnes et à la culture. C’est une base de données en ligne centralisée, comportant des tableaux de bord intuitifs et des applications intégrées, qui aideront à simplifier les activités liées aux personnes et à la culture.</w:t>
      </w:r>
    </w:p>
    <w:p w14:paraId="0A7F7D83" w14:textId="00B3AD13" w:rsidR="00064B9F" w:rsidRPr="00E34E46" w:rsidRDefault="00064B9F" w:rsidP="00B56537">
      <w:r w:rsidRPr="00E34E46">
        <w:t xml:space="preserve">La décision de passer à une nouvelle plateforme a été prise en 2019, lorsque les employés ont commencé à témoigner leurs préoccupations concernant l’inaccessibilité du système de paie de l’organisation A. Plus précisément, les employés qui utilisent des lecteurs d’écran ne pouvaient pas réserver leur congé de manière autonome. De plus, les sorties du système, </w:t>
      </w:r>
      <w:r w:rsidRPr="00E34E46">
        <w:lastRenderedPageBreak/>
        <w:t>notamment les relevés de paie, étaient inaccessibles. Le besoin de disposer d’une plateforme plus conviviale et accessible s’est ainsi fait sentir.</w:t>
      </w:r>
    </w:p>
    <w:p w14:paraId="6332FF52" w14:textId="477C2567" w:rsidR="00064B9F" w:rsidRPr="00E34E46" w:rsidRDefault="00064B9F" w:rsidP="00B56537">
      <w:r w:rsidRPr="00E34E46">
        <w:t>Dans le cadre d’un audit sur l’accessibilité, l’équipe chargée des tests a également confirmé que la plateforme était inaccessible. Elle a constaté que la plateforme utilisait également comme solution une couche d’accessibilité. Il s’agit de solutions logicielles automatisées qui détectent les problèmes liés à l’accessibilité sur le Web et qui les corrigent. Bien que ces outils soient rentables et puissent profiter à certains groupes d’utilisateurs, les professionnels de l’accessibilité s’inquiètent de leur efficacité (Alexiou, 2021; IAAP, 2022).</w:t>
      </w:r>
    </w:p>
    <w:p w14:paraId="7A163107" w14:textId="275EF11C" w:rsidR="00064B9F" w:rsidRPr="00E34E46" w:rsidRDefault="007A09A7" w:rsidP="00B56537">
      <w:r w:rsidRPr="00E34E46">
        <w:t xml:space="preserve">C’est rendu en 2023 que le fournisseur actuel de la plateforme a décidé de l’abandonner et a donc cessé de soutenir le système de paie de l’organisation A. Le fournisseur a plutôt recommandé à cette dernière de déployer une plateforme plus avancée, ce qu’elle a d’ailleurs réussi à faire. Cette nouvelle plateforme a été minutieusement conçue en tenant compte des besoins des employés et en offrant une bien meilleure pour les employés ayant divers besoins. Enfin, sa mise en œuvre témoigne de l’engagement </w:t>
      </w:r>
      <w:r w:rsidRPr="00E34E46">
        <w:lastRenderedPageBreak/>
        <w:t>inébranlable de l’organisation A envers la productivité et le bien-être de ses employés.</w:t>
      </w:r>
    </w:p>
    <w:p w14:paraId="4063C37E" w14:textId="3D212601" w:rsidR="00064B9F" w:rsidRPr="00E34E46" w:rsidRDefault="00064B9F" w:rsidP="00B56537">
      <w:pPr>
        <w:pStyle w:val="Heading4"/>
      </w:pPr>
      <w:bookmarkStart w:id="160" w:name="_Toc175675199"/>
      <w:bookmarkStart w:id="161" w:name="_Toc210828553"/>
      <w:r w:rsidRPr="00E34E46">
        <w:t>Chronologie des événements</w:t>
      </w:r>
      <w:bookmarkEnd w:id="160"/>
      <w:bookmarkEnd w:id="161"/>
    </w:p>
    <w:p w14:paraId="5CD26D0D" w14:textId="16711248" w:rsidR="00064B9F" w:rsidRPr="00E34E46" w:rsidRDefault="00064B9F" w:rsidP="00B56537">
      <w:r w:rsidRPr="00E34E46">
        <w:t>En juillet 2022, le fournisseur a communiqué avec l’équipe des finances de l’organisation A et lui a présenté sa nouvelle plateforme, que le fournisseur avait conçue pour être utilisée avec le système de paie. Les documents sur l’accessibilité de la plateforme (VPAT et ACR) ont été examinés en interne par l’organisation afin que soient confirmées les déclarations d’accessibilité. L’équipe des finances, en collaboration avec l’équipe informatique et l’équipe d’accessibilité, a joint le fournisseur pour effectuer des contrôles de l’accessibilité, lesquels ont été terminés en août 2022. Un rapport de contrôle de l’accessibilité a été ensuite transmis au fournisseur. </w:t>
      </w:r>
    </w:p>
    <w:p w14:paraId="307313D7" w14:textId="29A03A11" w:rsidR="00064B9F" w:rsidRPr="00E34E46" w:rsidRDefault="00064B9F" w:rsidP="00B56537">
      <w:r w:rsidRPr="00E34E46">
        <w:t xml:space="preserve">En mars 2023, une réunion de lancement avec le fournisseur a eu lieu pour discuter et finaliser la portée du projet et le calendrier. L’équipe de l’organisation A, qui garantit les normes d’accessibilité les plus élevées, a décidé de tester de nouveau tous les cas d’utilisation relatifs à l’accessibilité </w:t>
      </w:r>
      <w:r w:rsidRPr="00E34E46">
        <w:lastRenderedPageBreak/>
        <w:t>pour les gestionnaires et les employés. Elle a donc préparé la liste complète des différents scénarios servant aux cas d’utilisation. Par conséquent, le fournisseur connaissait déjà les exigences et a intégré un plan pour les tests de validation et d’acceptation dans le calendrier du projet, renforçant ainsi l’engagement des deux organisations à créer une plateforme fiable et accessible. Un appel hebdomadaire a été fixé pour examiner, dans le cadre du suivi du projet, les progrès réalisés en matière d’accessibilité à intervalles périodiques.</w:t>
      </w:r>
    </w:p>
    <w:p w14:paraId="49CCDD39" w14:textId="0AD70204" w:rsidR="00064B9F" w:rsidRPr="00E34E46" w:rsidRDefault="00064B9F" w:rsidP="00B56537">
      <w:r w:rsidRPr="00E34E46">
        <w:t xml:space="preserve">En mai 2023, un bac à sable a été créé pour réaliser les tests d’acceptation, et le rapport qui en résulte a été acheminé au fournisseur. Cette étape a permis à l’organisation de documenter les difficultés connues de l’accessibilité, auxquelles les utilisateurs se heurtaient. Elle a également permis, de concert avec le fournisseur, de trouver des solutions de manière proactive. Le fournisseur a configuré un pipeline d’accessibilité, afin que la personne désignée pour diriger l’accessibilité puisse recueillir les problèmes de la part de l’organisation, puis les transmettre directement à l’équipe aux fins de résolution. Ce pipeline contournait les systèmes de billetterie traditionnels et créait ainsi des points d’accès directs aux deux </w:t>
      </w:r>
      <w:r w:rsidRPr="00E34E46">
        <w:lastRenderedPageBreak/>
        <w:t>organisations. Il facilitait, en outre, la communication concernant les problèmes d’accessibilité signalés, les enquêtes dont ils faisaient l’objet du côté du fournisseur ainsi que la solution de contournement ou la validation.</w:t>
      </w:r>
    </w:p>
    <w:p w14:paraId="073801C3" w14:textId="75750D38" w:rsidR="007E3469" w:rsidRPr="00E34E46" w:rsidRDefault="004F066F" w:rsidP="007E3469">
      <w:r w:rsidRPr="00E34E46">
        <w:t>En juin 2023, un accord contractuel est intervenu entre les deux parties, dont le libellé comportait une terminologie relative à l’accessibilité. Une stratégie de correction en matière d’accessibilité a été élaborée, et toutes les solutions de contournement ont été testées. Tous les membres de l’équipe interne possédant l’expertise nécessaire en matière d’accessibilité y ont eu accès aux fins de leurs tests et de la validation. L’équipe interne a appuyé le fournisseur dans la mise en place de solutions de contournement et dans l’amélioration de l’accessibilité pour les employés.</w:t>
      </w:r>
    </w:p>
    <w:p w14:paraId="47399646" w14:textId="26891F45" w:rsidR="007E3469" w:rsidRPr="00E34E46" w:rsidRDefault="00A91079" w:rsidP="007E3469">
      <w:r w:rsidRPr="00E34E46">
        <w:t xml:space="preserve">Les équipes d’accessibilité de l’organisation A et des fournisseurs ont collaboré efficacement pour résoudre les problèmes signalés par l’équipe interne et pour associer les solutions de contournement pendant les multiples phases de tests d’accessibilité. L’intégration du système à l’échelle de l’organisation a eu lieu une fois que le fournisseur avait atteint le seuil d’accessibilité. Au cours du même mois, les employés de l’organisation A ont commencé à recevoir des courriels du service d’assistance les informant de </w:t>
      </w:r>
      <w:r w:rsidRPr="00E34E46">
        <w:lastRenderedPageBreak/>
        <w:t>la migration vers le système de paie pour l’ensemble du personnel et de l’échéancier. </w:t>
      </w:r>
    </w:p>
    <w:p w14:paraId="6DDD636C" w14:textId="021A5F07" w:rsidR="00064B9F" w:rsidRPr="00E34E46" w:rsidRDefault="00375265" w:rsidP="00AE3B36">
      <w:r w:rsidRPr="00E34E46">
        <w:t xml:space="preserve">Une approche inclusive intégrée de la formation a permis de garantir que les documents et les séances de formation étaient organisés pour tous les utilisateurs simultanément, qu’ils utilisaient ou non des appareils d’assistance. L’organisation A </w:t>
      </w:r>
      <w:proofErr w:type="spellStart"/>
      <w:r w:rsidRPr="00E34E46">
        <w:t>a</w:t>
      </w:r>
      <w:proofErr w:type="spellEnd"/>
      <w:r w:rsidRPr="00E34E46">
        <w:t xml:space="preserve"> adapté la documentation accessible et les documents de formation afin qu’ils répondent aux besoins des utilisateurs et des essais pilotes ont été effectués pour corriger des lacunes soulevées dans la formation. Aussi, deux séances supplémentaires ont été consacrées aux questions. Un lancement officiel a ensuite été planifié pour un déploiement à l’échelle de l’organisation. </w:t>
      </w:r>
      <w:r w:rsidR="007350AC" w:rsidRPr="00E34E46">
        <w:t xml:space="preserve"> </w:t>
      </w:r>
      <w:r w:rsidRPr="00E34E46">
        <w:t>Le 12 juin 2023, tous les membres du personnel ont reçu leurs données de connexion au nouveau système de paie.</w:t>
      </w:r>
    </w:p>
    <w:p w14:paraId="65B86189" w14:textId="7CBBB3B4" w:rsidR="007E3469" w:rsidRPr="00E34E46" w:rsidRDefault="00064B9F" w:rsidP="00B56537">
      <w:r w:rsidRPr="00E34E46">
        <w:t xml:space="preserve">À la fin du mois de juin, tous les employés ont eu accès à des séances de formation pour apprendre comment utiliser la nouvelle plateforme efficacement. Des formations et des ateliers préalables ont également été prévus dans l’ensemble de l’organisation pour tous les intervenants concernés. Le fournisseur a organisé la première série de formations et de séminaires en se servant d’événements en ligne accessibles. </w:t>
      </w:r>
    </w:p>
    <w:p w14:paraId="53CBE007" w14:textId="22C82A56" w:rsidR="00064B9F" w:rsidRPr="00E34E46" w:rsidRDefault="00BE1B9E" w:rsidP="007E3469">
      <w:r w:rsidRPr="00E34E46">
        <w:lastRenderedPageBreak/>
        <w:t xml:space="preserve">L’organisation A </w:t>
      </w:r>
      <w:proofErr w:type="spellStart"/>
      <w:r w:rsidRPr="00E34E46">
        <w:t>a</w:t>
      </w:r>
      <w:proofErr w:type="spellEnd"/>
      <w:r w:rsidRPr="00E34E46">
        <w:t xml:space="preserve"> également fourni une formation supplémentaire selon les besoins des employés désignés lors de la phase de tests d’accessibilité et d’utilisabilité. L’approche de la formation combinée a permis de corriger les lacunes soulevées dans les connaissances ou la formation, que le fournisseur ne pouvait pas résoudre seul. C’est à la fin de juillet 2023 que s’est conclue la mise en œuvre du nouveau système de paie. Néanmoins, l’équipe chargée de l’accessibilité pour l’organisation A </w:t>
      </w:r>
      <w:proofErr w:type="spellStart"/>
      <w:r w:rsidRPr="00E34E46">
        <w:t>a</w:t>
      </w:r>
      <w:proofErr w:type="spellEnd"/>
      <w:r w:rsidRPr="00E34E46">
        <w:t xml:space="preserve"> continué à mener des tests de rendement continus relatifs à l’accessibilité pour toute nouvelle fonction qui introduite ou activée dans la plateforme.  </w:t>
      </w:r>
    </w:p>
    <w:p w14:paraId="4F5E507F" w14:textId="3BBBD8EB" w:rsidR="00064B9F" w:rsidRPr="00E34E46" w:rsidRDefault="00064B9F" w:rsidP="00B56537">
      <w:pPr>
        <w:pStyle w:val="Heading4"/>
      </w:pPr>
      <w:bookmarkStart w:id="162" w:name="_Toc168722572"/>
      <w:bookmarkStart w:id="163" w:name="_Toc175675200"/>
      <w:bookmarkStart w:id="164" w:name="_Toc210828554"/>
      <w:r w:rsidRPr="00E34E46">
        <w:t>Leçons apprises</w:t>
      </w:r>
      <w:bookmarkEnd w:id="162"/>
      <w:bookmarkEnd w:id="163"/>
      <w:bookmarkEnd w:id="164"/>
    </w:p>
    <w:p w14:paraId="7665018D" w14:textId="5B4B1775" w:rsidR="00375265" w:rsidRPr="00E34E46" w:rsidRDefault="00375265" w:rsidP="00375265">
      <w:r w:rsidRPr="00E34E46">
        <w:t xml:space="preserve">Les enseignements suivants ont été tirés de la mise en œuvre du projet et de l’étude de cas. </w:t>
      </w:r>
    </w:p>
    <w:p w14:paraId="225FD096" w14:textId="5128A5FC" w:rsidR="0034271E" w:rsidRPr="00E34E46" w:rsidRDefault="0034271E" w:rsidP="00E44F9E">
      <w:pPr>
        <w:pStyle w:val="ListParagraph"/>
        <w:numPr>
          <w:ilvl w:val="0"/>
          <w:numId w:val="56"/>
        </w:numPr>
      </w:pPr>
      <w:r w:rsidRPr="00E34E46">
        <w:rPr>
          <w:rStyle w:val="Emphasis"/>
        </w:rPr>
        <w:t>Collaborer avec les fournisseurs actuels ou connus tôt dans le processus :</w:t>
      </w:r>
      <w:r w:rsidRPr="00E34E46">
        <w:t xml:space="preserve"> Les systèmes et les plateformes ne sont pas toujours disponibles. Toutefois, les relations étroites entretenues avec les fournisseurs actuels peuvent venir répondre à un besoin mutuel, s’il n’existe pas de solutions accessibles sur </w:t>
      </w:r>
      <w:r w:rsidRPr="00E34E46">
        <w:lastRenderedPageBreak/>
        <w:t>le marché en question. Dans ce cas, si le temps imparti était suffisant, une solution pourrait être élaborée conjointement, ce qui conférerait au fournisseur un avantage concurrentiel et permettrait à l’acheteur de respecter ses engagements, ses valeurs et ses principes en matière d’accessibilité.</w:t>
      </w:r>
    </w:p>
    <w:p w14:paraId="5510010F" w14:textId="691EF0B1" w:rsidR="00064B9F" w:rsidRPr="00E34E46" w:rsidRDefault="00064B9F" w:rsidP="00E44F9E">
      <w:pPr>
        <w:pStyle w:val="ListParagraph"/>
        <w:numPr>
          <w:ilvl w:val="0"/>
          <w:numId w:val="56"/>
        </w:numPr>
      </w:pPr>
      <w:r w:rsidRPr="00E34E46">
        <w:rPr>
          <w:rStyle w:val="Emphasis"/>
        </w:rPr>
        <w:t xml:space="preserve">Développer des politiques d’approvisionnement accessibles : </w:t>
      </w:r>
      <w:r w:rsidRPr="00E34E46">
        <w:t xml:space="preserve">Les politiques d’approvisionnement accessibles indiquent aux fournisseurs qu’une organisation s’attend à ce que la technologie qu’elle se procure soit accessible à tous, qu’il s’agisse des employés ou autre. Ajoutons que les politiques d’accessibilité des fournisseurs démontrent un engagement à fournir des produits et des services accessibles. La formation d’équipes </w:t>
      </w:r>
      <w:proofErr w:type="spellStart"/>
      <w:r w:rsidRPr="00E34E46">
        <w:t>interorganisationnelles</w:t>
      </w:r>
      <w:proofErr w:type="spellEnd"/>
      <w:r w:rsidRPr="00E34E46">
        <w:t xml:space="preserve"> est essentielle pour une mise en œuvre efficace des politiques d’accessibilité, une fois qu’elles sont adoptées.</w:t>
      </w:r>
    </w:p>
    <w:p w14:paraId="06AEC586" w14:textId="1F5B257F" w:rsidR="00064B9F" w:rsidRPr="00E34E46" w:rsidRDefault="00064B9F" w:rsidP="00E44F9E">
      <w:pPr>
        <w:pStyle w:val="ListParagraph"/>
        <w:numPr>
          <w:ilvl w:val="0"/>
          <w:numId w:val="56"/>
        </w:numPr>
      </w:pPr>
      <w:r w:rsidRPr="00E34E46">
        <w:rPr>
          <w:rStyle w:val="Emphasis"/>
        </w:rPr>
        <w:t>Tester l’accessibilité des produits :</w:t>
      </w:r>
      <w:r w:rsidRPr="00E34E46">
        <w:t xml:space="preserve"> Les pratiques exemplaires incluent l’attribution des tests d’accessibilité et d’utilisabilité comme rôle dans le processus d’approvisionnement; l’élaboration d’une liste de vérification pour les divers tests, et la </w:t>
      </w:r>
      <w:r w:rsidRPr="00E34E46">
        <w:lastRenderedPageBreak/>
        <w:t>poursuite des tests d’accessibilité tout au long du cycle de vie du produit et des renouvellements. Les déclarations des fournisseurs doivent être validées, et pour ce faire, il faut inclure des tests d’acceptation et de correction dans le processus d’approvisionnement.</w:t>
      </w:r>
    </w:p>
    <w:p w14:paraId="1612DCAC" w14:textId="06BA4E69" w:rsidR="00064B9F" w:rsidRPr="00E34E46" w:rsidRDefault="00064B9F" w:rsidP="00E44F9E">
      <w:pPr>
        <w:pStyle w:val="ListParagraph"/>
        <w:numPr>
          <w:ilvl w:val="0"/>
          <w:numId w:val="56"/>
        </w:numPr>
      </w:pPr>
      <w:r w:rsidRPr="00E34E46">
        <w:rPr>
          <w:rStyle w:val="Emphasis"/>
        </w:rPr>
        <w:t xml:space="preserve">Garantir la responsabilisation de l’organisation : </w:t>
      </w:r>
      <w:r w:rsidRPr="00E34E46">
        <w:t>l’engagement envers l’approvisionnement accessible est très bien soutenu par une culture d’accessibilité définissant clairement les rôles et responsabilités, et permettant la responsabilisation organisationnelle pour les acheteurs, les vendeurs, les employés, et le public. L’intégration de l’accessibilité dans les équipes d’approvisionnement peut aider à approfondir leurs connaissances et leur leadership interfonctionnels, tout en clarifiant le processus et l’ordre.  Les personnes qui ont l’expertise requise ont été nommées dès le début du projet et mobilisées aux moments importants du processus d’approvisionnement. Ainsi, leurs contributions à l’accessibilité et leur supervision ont pu être intégrées de manière proactive, là où des modifications étaient possibles.</w:t>
      </w:r>
    </w:p>
    <w:p w14:paraId="4EA4194E" w14:textId="312109D5" w:rsidR="005644F2" w:rsidRPr="00E34E46" w:rsidRDefault="001E06FD" w:rsidP="00E44F9E">
      <w:pPr>
        <w:pStyle w:val="ListParagraph"/>
        <w:numPr>
          <w:ilvl w:val="0"/>
          <w:numId w:val="56"/>
        </w:numPr>
      </w:pPr>
      <w:r w:rsidRPr="00E34E46">
        <w:rPr>
          <w:rStyle w:val="Emphasis"/>
        </w:rPr>
        <w:lastRenderedPageBreak/>
        <w:t xml:space="preserve">Les exigences en matière d’accessibilité introduites dans les contrats d’approvisionnement doivent être transparentes et détaillées : </w:t>
      </w:r>
      <w:r w:rsidRPr="00E34E46">
        <w:t>Il s’agit entre autres des exigences et des normes actuelles sur le plan juridique ainsi que sur les plans de l’accessibilité et de l’utilisabilité.</w:t>
      </w:r>
      <w:bookmarkStart w:id="165" w:name="_Toc175675201"/>
    </w:p>
    <w:p w14:paraId="13809659" w14:textId="5B830E1D" w:rsidR="001E06FD" w:rsidRPr="00E34E46" w:rsidRDefault="001E06FD" w:rsidP="00E44F9E">
      <w:pPr>
        <w:pStyle w:val="ListParagraph"/>
        <w:numPr>
          <w:ilvl w:val="0"/>
          <w:numId w:val="56"/>
        </w:numPr>
      </w:pPr>
      <w:r w:rsidRPr="00E34E46">
        <w:rPr>
          <w:rStyle w:val="Emphasis"/>
        </w:rPr>
        <w:t>Surveiller le temps comme ressource majeure d’investissement :</w:t>
      </w:r>
      <w:r w:rsidRPr="00E34E46">
        <w:t xml:space="preserve"> Le cycle d’approvisionnement prend des années et est è forte intensité en main-d’œuvre, tant pour l’acheteur (organisation A) que pour le fournisseur. Ce dernier a d’ailleurs accordé du temps à l’organisation A afin qu’elle élabore des solutions de rechange. Cependant, des tests ont eu lieu tôt dans le processus pour l’acceptation et ont donné lieu à l’élaboration d’un calendrier et d’un plan de correction pour l’accessibilité.</w:t>
      </w:r>
    </w:p>
    <w:p w14:paraId="71CBEDF5" w14:textId="59A6FE11" w:rsidR="00DB133A" w:rsidRPr="00E34E46" w:rsidRDefault="00B66A11" w:rsidP="00DB133A">
      <w:pPr>
        <w:pStyle w:val="Heading4"/>
      </w:pPr>
      <w:bookmarkStart w:id="166" w:name="_Toc210828555"/>
      <w:r w:rsidRPr="00E34E46">
        <w:t>Déterminer le succès</w:t>
      </w:r>
      <w:bookmarkEnd w:id="165"/>
      <w:bookmarkEnd w:id="166"/>
    </w:p>
    <w:p w14:paraId="721F07B8" w14:textId="4DC1514A" w:rsidR="00DB133A" w:rsidRPr="00E34E46" w:rsidRDefault="00B66A11" w:rsidP="00B66A11">
      <w:r w:rsidRPr="00E34E46">
        <w:t xml:space="preserve">Le succès d’un projet d’approvisionnement accessible est possible au niveau du projet lui-même et de l’organisation dans son ensemble. La recherche future pourrait vérifier si des projets d’approvisionnement </w:t>
      </w:r>
      <w:r w:rsidRPr="00E34E46">
        <w:lastRenderedPageBreak/>
        <w:t>accessible permettent de réduire les retards internes. Des mesures du succès pourraient également être orientées vers l’avenir et cela pourrait s’appuyer sur le suivi continu de la rétroaction sur l’accessibilité, sur la réduction des plaintes en matière d’accessibilité, voire sur le respect de la date limite de lancement du produit. Les mesures du succès peuvent également varier en fonction des rôles clés et tous ces éléments peuvent être étudiés de manière plus approfondie à travers le prisme de l’assurance qualité, de projets d’évaluation ou d’autres méthodes de recherche.</w:t>
      </w:r>
    </w:p>
    <w:p w14:paraId="3B0E598E" w14:textId="18959056" w:rsidR="00DB133A" w:rsidRPr="00E34E46" w:rsidRDefault="00DB133A" w:rsidP="00DB133A">
      <w:pPr>
        <w:pStyle w:val="Heading4"/>
      </w:pPr>
      <w:bookmarkStart w:id="167" w:name="_Toc210828556"/>
      <w:r w:rsidRPr="00E34E46">
        <w:t>Remarques de clôture</w:t>
      </w:r>
      <w:bookmarkEnd w:id="167"/>
    </w:p>
    <w:p w14:paraId="33F0BE19" w14:textId="0C586D29" w:rsidR="008A7DC0" w:rsidRPr="00E34E46" w:rsidRDefault="00224C99" w:rsidP="00B56537">
      <w:r w:rsidRPr="00E34E46">
        <w:t xml:space="preserve">Cette étude de cas nous permet de mieux comprendre comment l’approvisionnement accessible prend forme dans le cycle de vie d’un projet en nous appuyant sur le partage de connaissances et la collaboration entre le vendeur et l’organisation A. L’organisation A </w:t>
      </w:r>
      <w:proofErr w:type="spellStart"/>
      <w:r w:rsidRPr="00E34E46">
        <w:t>a</w:t>
      </w:r>
      <w:proofErr w:type="spellEnd"/>
      <w:r w:rsidRPr="00E34E46">
        <w:t xml:space="preserve"> fait de l’accessibilité elle-même une priorité plutôt que d’acheter un système inaccessible. Les acheteurs auraient pu faire valoir que l’absence de préparation du marché aurait permis d’accorder une dérogation en matière d’accessibilité, puisqu’une telle décision aurait permis de respecter l’actuel niveau de conformité à la législation. Toutefois, à la fois l’organisation A et le </w:t>
      </w:r>
      <w:r w:rsidRPr="00E34E46">
        <w:lastRenderedPageBreak/>
        <w:t>fournisseur ont collaboré pour corriger cette lacune du marché et pour répondre aux besoins organisationnels tout en respectant les engagements en matière d’accessibilité. Cette façon de faire ne signifie pas toujours que les systèmes mis en place sont parfaits sur le plan de l’accessibilité, mais de telles collaborations interpellent d’autres acheteurs du secteur. En effet, les organisations et les professionnels se tournent les uns vers les autres pour s’influencer et se conseiller. Les organisations, les professionnels de l’approvisionnement et les professionnels de l’accessibilité mettent en place l’approvisionnement accessible dans leur domaine, souvent sans les ressources nécessaires et peut-être même de manière ponctuelle, ce qui suggère une maturité globale encore précoce.</w:t>
      </w:r>
    </w:p>
    <w:p w14:paraId="388D5DFD" w14:textId="771CD337" w:rsidR="00B25466" w:rsidRPr="00E34E46" w:rsidRDefault="003C6BEF" w:rsidP="00B56537">
      <w:pPr>
        <w:pStyle w:val="Heading3"/>
      </w:pPr>
      <w:bookmarkStart w:id="168" w:name="_Toc210828557"/>
      <w:r w:rsidRPr="00E34E46">
        <w:t>5.2 État de préparation des décisionnaires et de l’industrie</w:t>
      </w:r>
      <w:bookmarkEnd w:id="168"/>
    </w:p>
    <w:p w14:paraId="6D664E6A" w14:textId="0B17ED9C" w:rsidR="008A1F8A" w:rsidRPr="00E34E46" w:rsidRDefault="004E5BA0" w:rsidP="00B56537">
      <w:r w:rsidRPr="00E34E46">
        <w:t xml:space="preserve">Pour comprendre le contexte canadien, deux projets ont été entrepris. Le premier comprenait une analyse documentaire ainsi qu’une consultation d’experts, tandis que le deuxième comportait une enquête en ligne auprès d’organisations et d’entreprises au Canada. L’équipe de la </w:t>
      </w:r>
      <w:r w:rsidRPr="00E34E46">
        <w:rPr>
          <w:rStyle w:val="normaltextrun"/>
        </w:rPr>
        <w:t xml:space="preserve">Table ronde des </w:t>
      </w:r>
      <w:r w:rsidRPr="00E34E46">
        <w:rPr>
          <w:rStyle w:val="normaltextrun"/>
        </w:rPr>
        <w:lastRenderedPageBreak/>
        <w:t>affaires + de l’enseignement supérieur</w:t>
      </w:r>
      <w:r w:rsidRPr="00E34E46">
        <w:t xml:space="preserve"> (TRAES) a passé en revue la documentation existante et s’est entretenue avec des professionnels de l’approvisionnement et des intermédiaires issus d’organisations sous réglementation fédérale pour connaître leurs expériences, leurs défis et leurs besoins en matière d’approvisionnement accessible. Des thèmes clés ont émergé quant à la nouveauté de l’approvisionnement accessible, aux complexités et aux subtilités de l’approvisionnement même, au besoin de renforcer les capacités des professionnels de l’approvisionnement, et au fait que, souvent, les domaines de l’accessibilité et de l’approvisionnement ne se chevauchent pas dans la pratique. Ce manque de collaboration et d’expertise a une incidence sur la manière dont les critères d’accessibilité sont appliqués, évalués ou notés dans le cadre de projets ou d’initiatives d’approvisionnement (TRAES, 2024). Les obstacles et les défis ayant fait surface dans le cadre des entretiens incluaient le manque de sensibilisation et de responsabilité à l’égard de l’approvisionnement accessible, la quantité limitée de ressources organisationnelles, le manque de préparation du marché, la disponibilité de produits accessibles et les préoccupations des acheteurs que les petites et moyennes entreprises (PME) soient exclues de certains appels d’offres</w:t>
      </w:r>
      <w:r w:rsidR="00E60487" w:rsidRPr="00E34E46">
        <w:t>.</w:t>
      </w:r>
    </w:p>
    <w:p w14:paraId="249F74CC" w14:textId="300321FC" w:rsidR="003C283A" w:rsidRPr="00E34E46" w:rsidRDefault="00333BEF" w:rsidP="003C283A">
      <w:r w:rsidRPr="00E34E46">
        <w:lastRenderedPageBreak/>
        <w:t>Initialement, nous avons cherché à réaliser une analyse coûts-avantages sur l’accessibilité. Toutefois, le niveau d’information nécessaire pour ce faire n’était pas disponible au Canada à l’époque, contrairement aux États-Unis et à l’Union européenne Compte tenu de ce niveau de disponibilité des données, nous avons également cherché à comprendre comment l’approvisionnement accessible est actuellement pratiqué au Canada. Nous avons donc élaboré une enquête sur la mise en œuvre de l’approvisionnement accessible afin de recueillir des renseignements sur les approches en matière d’approvisionnement accessible des entreprises et des organisations canadiennes.</w:t>
      </w:r>
    </w:p>
    <w:p w14:paraId="18597C32" w14:textId="033B8FC0" w:rsidR="00492862" w:rsidRPr="00E34E46" w:rsidRDefault="00492862" w:rsidP="003C283A">
      <w:pPr>
        <w:rPr>
          <w:rFonts w:eastAsia="Times New Roman"/>
          <w:szCs w:val="28"/>
        </w:rPr>
      </w:pPr>
      <w:r w:rsidRPr="00E34E46">
        <w:t xml:space="preserve">Une enquête a été élaborée et déployée en février 2024. Les partenaires organisationnels et les collaborateurs du projet ont été invités à diffuser l’invitation ainsi que le lien vers l’enquête au sein de leurs réseaux par courriel. L’étude a eu recours à un échantillonnage ciblé en raison de la petite taille de la population possédant l’expertise et l’intérêt nécessaires en matière d’approvisionnement accessible. Les données de l’enquête ont été anonymisées et présentées sous forme agrégée. L’échantillonnage ne se limitait pas à des secteurs sous réglementation fédérale; des organisations </w:t>
      </w:r>
      <w:r w:rsidRPr="00E34E46">
        <w:lastRenderedPageBreak/>
        <w:t>des secteurs privé, public et sans but lucratif ont été incluses afin de tenir compte des différentes nuances dans les processus d’approvisionnement. Des participants âgés de 18 ans et plus, représentant des organisations dont le siège social est sis au Canada, pouvaient répondre à l’enquête.</w:t>
      </w:r>
      <w:r w:rsidRPr="00E34E46">
        <w:rPr>
          <w:color w:val="000000"/>
        </w:rPr>
        <w:t xml:space="preserve"> Les réponses incomplètes ou exclues ont été retirées de l’analyse des données. </w:t>
      </w:r>
      <w:r w:rsidRPr="00E34E46">
        <w:t>L’analyse statistique descriptive qui suit a été menée sur l’ensemble des données des répondants anglophones; l’échantillon de langue française ne comprenant que deux répondants.</w:t>
      </w:r>
    </w:p>
    <w:p w14:paraId="24DD7805" w14:textId="1F066C01" w:rsidR="00B421D8" w:rsidRPr="00E34E46" w:rsidRDefault="00B421D8" w:rsidP="00B421D8">
      <w:r w:rsidRPr="00E34E46">
        <w:t xml:space="preserve">En raison de la petite taille de l’échantillon, nous n’indiquerons que des pourcentages. L’enquête a pris en compte les différentes fonctions et le nombre d’années d’expérience. Parmi les fonctions représentées dans l’enquête, 35,5 % étaient des décisionnaires (cadres supérieurs ou dirigeants). Les professionnels de l’approvisionnement représentaient 25,8 % et d’autres rôles, tels que des utilisateurs finaux, étaient représentés. En matière d’années d’expérience, 58,1 % des répondants comptaient entre 1 et 5 années d’expérience dans leur fonction. La répartition était équilibrée entre les personnes ayant entre 6 et 10 ans d’expérience (19,4 %) et celles ayant plus de 11 ans d’expérience. Bien que </w:t>
      </w:r>
      <w:r w:rsidRPr="00E34E46">
        <w:lastRenderedPageBreak/>
        <w:t>nous ayons échantillonné un plus grand nombre d’organisations, les réponses à l’enquête comprenaient 51,6 % d’organisations du secteur public, dont aux échelles municipale, provinciale et fédérale, ainsi que 29 % d’organisations du secteur privé et 19,4 % représentant le secteur sans but lucratif. À l’échelle du pays, 77 % des organisations représentaient les provinces centrales (Ontario, Manitoba et Québec), 19 %, les provinces de l’Ouest (Alberta, Colombie-Britannique et Saskatchewan) et seulement 3 %, les provinces atlantiques. La taille des organisations représentées allait d’un employé à 10 000 employés, la moyenne s’établissant à 2 185,839 employés.</w:t>
      </w:r>
    </w:p>
    <w:p w14:paraId="38A736F8" w14:textId="546A1F22" w:rsidR="00275441" w:rsidRPr="00E34E46" w:rsidRDefault="00A42FA9" w:rsidP="003C283A">
      <w:r w:rsidRPr="00E34E46">
        <w:t xml:space="preserve">En ce qui concerne les différentes formes d’approvisionnement, un peu plus de 74 % des organisations disposent d’une politique d’approvisionnement générale, et 48 % indiquent avoir des initiatives d’approvisionnement durable ou écologique. Près de 39 % des organisations ont déclaré avoir mis en place des initiatives d’approvisionnement auprès d’entreprises autochtones, en plus de l’approvisionnement social (34 %). Quelque 47 % des organisations ont déclaré que leurs initiatives en matière d’approvisionnement durable ou social incluaient des personnes en situation </w:t>
      </w:r>
      <w:r w:rsidRPr="00E34E46">
        <w:lastRenderedPageBreak/>
        <w:t>de handicap, tandis que 40 % ne savaient pas et que seuls 13 % ont répondu par la négative.</w:t>
      </w:r>
    </w:p>
    <w:p w14:paraId="21681A53" w14:textId="06B00336" w:rsidR="00275441" w:rsidRPr="00E34E46" w:rsidRDefault="00B421D8" w:rsidP="003C283A">
      <w:pPr>
        <w:rPr>
          <w:color w:val="000000"/>
        </w:rPr>
      </w:pPr>
      <w:r w:rsidRPr="00E34E46">
        <w:rPr>
          <w:color w:val="000000"/>
        </w:rPr>
        <w:t xml:space="preserve">Près de 53 % des organisations ont indiqué qu’elles s’appuient sur des VPAT (modèles volontaires d’accessibilité des produits), tandis qu’elles sont divisées à parts égales sur la question de savoir si les fournisseurs doivent ou devraient remplir des rapports de conformité en matière d’accessibilité (ACR). En ce qui concerne les tests d’accessibilité, les organisations privilégient très peu les tests humains, qu’il s’agisse de tests manuels auprès de personnes ayant vécu une expérience pertinente, de tests d’utilisabilité auprès d’utilisateurs finaux (ayant ou non un handicap) ou de tests automatisés. Les organisations s’appuient sur de multiples formes de tests d’accessibilité, ce qui est considéré comme une pratique exemplaire. Un peu plus de 35 % des organisations ont déclaré ne pas savoir qui effectue les tests d’accessibilité pour valider les affirmations de fournisseurs, alors qu’aucune organisation n’a déclaré avoir recours à des testeurs externes et que près de 24 % s’appuient sur des testeurs internes et externes à la fois). Les 17,7 % restants ont déclaré utiliser d’autres moyens de mener des tests – des moyens adaptés à leur processus, à des utilisateurs finaux donnés, à </w:t>
      </w:r>
      <w:r w:rsidRPr="00E34E46">
        <w:rPr>
          <w:color w:val="000000"/>
        </w:rPr>
        <w:lastRenderedPageBreak/>
        <w:t>la nature du produit ou du service acheté et au coût des tests. Les organisations s’appuient sur une combinaison de formations et de certifications pour les testeurs d’accessibilité internes, certaines n’exigeant aucune formation particulière, d’autres exigeant une certification de l’IAAP ou même utilisant une formation interne. Les utilisateurs acquièrent des connaissances sur les technologies d’assistance lorsqu’ils assistent à des conférences et s’appuient sur des personnes ayant une expérience vécue. Cependant, 47,4 % des organisations ne savent pas quel type de certification ou de formation est requis pour les testeurs d’accessibilité internes.</w:t>
      </w:r>
    </w:p>
    <w:p w14:paraId="70F5BB56" w14:textId="063931BF" w:rsidR="00A42FA9" w:rsidRPr="00E34E46" w:rsidRDefault="008B73F7" w:rsidP="003C283A">
      <w:r w:rsidRPr="00E34E46">
        <w:rPr>
          <w:color w:val="000000"/>
        </w:rPr>
        <w:t xml:space="preserve">Quant aux cadres de surveillance et d’évaluation pour l’approvisionnement accessible, 47,1 % des organisations ne disposent pas de tels cadres, tandis que 35,3 % n’en savent rien. Toutefois, 29,4 % des répondants ont déclaré disposer d’IRC pour l’approvisionnement accessible. Le fait qu’un fournisseur possède un plan et une stratégie d’accessibilité constituait le principal IRC nommé par les organisations. Toutefois, d’autres IRC ont également été signalés comme étant importants. Par exemple, les fournisseurs n’emploient pas seulement des personnes en situation de </w:t>
      </w:r>
      <w:r w:rsidRPr="00E34E46">
        <w:rPr>
          <w:color w:val="000000"/>
        </w:rPr>
        <w:lastRenderedPageBreak/>
        <w:t xml:space="preserve">handicap, mais offrent également des possibilités d’emploi significatives. D’autres indicateurs mentionnaient la diffusion de rapports de conformité en matière d’accessibilité au grand public, tout en précisant la personne ayant produit lesdits rapports, en particulier si ceux-ci provenaient d’un tiers. Enfin, il y a également les recommandations transmises de bouche à oreille de la part d’organisations et de services de secteurs d’activités similaires qui étaient des indicateurs orientés vers l’identification de fournisseurs. </w:t>
      </w:r>
      <w:r w:rsidRPr="00E34E46">
        <w:t>Les cinq principales raisons justifiant la mise en œuvre de l’approvisionnement accessible incluent :</w:t>
      </w:r>
    </w:p>
    <w:p w14:paraId="1E20D91E" w14:textId="5B36306C" w:rsidR="00A42FA9" w:rsidRPr="00E34E46" w:rsidRDefault="00A42FA9" w:rsidP="00E44F9E">
      <w:pPr>
        <w:pStyle w:val="ListParagraph"/>
        <w:numPr>
          <w:ilvl w:val="0"/>
          <w:numId w:val="40"/>
        </w:numPr>
      </w:pPr>
      <w:r w:rsidRPr="00E34E46">
        <w:t>Fourniture d’un accès public aux biens et aux services;</w:t>
      </w:r>
    </w:p>
    <w:p w14:paraId="6D360593" w14:textId="5F28BFBA" w:rsidR="00A42FA9" w:rsidRPr="00E34E46" w:rsidRDefault="00A42FA9" w:rsidP="00E44F9E">
      <w:pPr>
        <w:pStyle w:val="ListParagraph"/>
        <w:numPr>
          <w:ilvl w:val="0"/>
          <w:numId w:val="41"/>
        </w:numPr>
      </w:pPr>
      <w:r w:rsidRPr="00E34E46">
        <w:t>Offre d’un lieu de travail inclusif</w:t>
      </w:r>
      <w:r w:rsidR="00E60487" w:rsidRPr="00E34E46">
        <w:t>;</w:t>
      </w:r>
    </w:p>
    <w:p w14:paraId="4C80C2A6" w14:textId="395029AC" w:rsidR="00A42FA9" w:rsidRPr="00E34E46" w:rsidRDefault="00A42FA9" w:rsidP="00E44F9E">
      <w:pPr>
        <w:pStyle w:val="ListParagraph"/>
        <w:numPr>
          <w:ilvl w:val="0"/>
          <w:numId w:val="42"/>
        </w:numPr>
      </w:pPr>
      <w:r w:rsidRPr="00E34E46">
        <w:t>Exigences en vertu de la législation gouvernementale;</w:t>
      </w:r>
    </w:p>
    <w:p w14:paraId="02B84A07" w14:textId="535B82ED" w:rsidR="00A42FA9" w:rsidRPr="00E34E46" w:rsidRDefault="00A42FA9" w:rsidP="00E44F9E">
      <w:pPr>
        <w:pStyle w:val="ListParagraph"/>
        <w:numPr>
          <w:ilvl w:val="0"/>
          <w:numId w:val="43"/>
        </w:numPr>
      </w:pPr>
      <w:r w:rsidRPr="00E34E46">
        <w:t>Atténuation de plaintes et de litiges en matière de droits de la personne;</w:t>
      </w:r>
    </w:p>
    <w:p w14:paraId="72FC9B59" w14:textId="78BA96F6" w:rsidR="00A42FA9" w:rsidRPr="00E34E46" w:rsidRDefault="00A42FA9" w:rsidP="00E44F9E">
      <w:pPr>
        <w:pStyle w:val="ListParagraph"/>
        <w:numPr>
          <w:ilvl w:val="0"/>
          <w:numId w:val="44"/>
        </w:numPr>
      </w:pPr>
      <w:r w:rsidRPr="00E34E46">
        <w:t>Obtention d’un avantage concurrentiel ou commercial.</w:t>
      </w:r>
    </w:p>
    <w:p w14:paraId="7686A83A" w14:textId="48788086" w:rsidR="009357F1" w:rsidRPr="00E34E46" w:rsidRDefault="00A42FA9" w:rsidP="00B56537">
      <w:r w:rsidRPr="00E34E46">
        <w:t xml:space="preserve">Il existe bien des stratégies que peuvent adopter les organisations et les services pour répondre à leurs contextes et à leurs priorités uniques en matière d’approvisionnement accessible. Toutefois, l’importance d’intégrer </w:t>
      </w:r>
      <w:r w:rsidRPr="00E34E46">
        <w:lastRenderedPageBreak/>
        <w:t xml:space="preserve">l’accessibilité à toutes les phases du processus d’approvisionnement a été soulignée comme une dimension essentielle, que ce soit en intégrant l’accessibilité dans des initiatives ou des services d’approvisionnement parallèles, en abordant les exigences en matière d’accessibilité dès le début, ou encore en créant leurs propres outils internes d’évaluation et de formation. </w:t>
      </w:r>
      <w:r w:rsidRPr="00E34E46">
        <w:rPr>
          <w:color w:val="000000"/>
        </w:rPr>
        <w:t xml:space="preserve">Des sources possibles, les répondants comptent sur de nombreuses ressources différentes, les ressources gratuites en ligne étant les plus citées, suivies de celles provenant du gouvernement fédéral. </w:t>
      </w:r>
      <w:r w:rsidRPr="00E34E46">
        <w:t>Malgré un niveau élevé de sensibilisation à l’accessibilité parmi les répondants à l’enquête, il existe un important besoin de soutien et de formation, car 89 % d’entre eux indiquent qu’ils auraient besoin de plus de formation.</w:t>
      </w:r>
      <w:r w:rsidR="00E60487" w:rsidRPr="00E34E46">
        <w:t xml:space="preserve"> </w:t>
      </w:r>
      <w:r w:rsidRPr="00E34E46">
        <w:t>Ces stratégies pointent vers certains obstacles auxquels se heurtent les organisations lors de la mise en œuvre d’un approvisionnement accessible.</w:t>
      </w:r>
    </w:p>
    <w:p w14:paraId="5FE09700" w14:textId="4F09D5F6" w:rsidR="00A42FA9" w:rsidRPr="00E34E46" w:rsidRDefault="0008425A" w:rsidP="000D710E">
      <w:pPr>
        <w:rPr>
          <w:color w:val="000000"/>
        </w:rPr>
      </w:pPr>
      <w:r w:rsidRPr="00E34E46">
        <w:t>Parmi les répondants, concernant la diversité, l’équité et l’inclusion, 53 % des organisations ont déclaré intégrer ces principes dans leur programme de chaîne d’approvisionnement. Parmi les organisations sondées, 47 % ont indiqué ne pas savoir si leurs programmes de sensibilisation tenaient compte des personnes en situation de handicap.</w:t>
      </w:r>
      <w:r w:rsidRPr="00E34E46">
        <w:rPr>
          <w:color w:val="000000"/>
        </w:rPr>
        <w:t xml:space="preserve"> En </w:t>
      </w:r>
      <w:r w:rsidRPr="00E34E46">
        <w:rPr>
          <w:color w:val="000000"/>
        </w:rPr>
        <w:lastRenderedPageBreak/>
        <w:t xml:space="preserve">ce qui concerne la diversité de la chaîne d’approvisionnement, on ne sait guère si les initiatives actuelles en matière de DEI atteignent des entreprises dirigées par des personnes en situation de handicap ou de potentiels fournisseurs en situation de handicap. </w:t>
      </w:r>
      <w:r w:rsidRPr="00E34E46">
        <w:t>Pour promouvoir une approche holistique et cohérente des différentes initiatives en matière d’approvisionnement accessible, les organisations doivent renforcer leurs capacités interfonctionnelles et leurs niveaux de collaborations entre leurs services, notamment les TI, le contentieux, le service des finances, les développeurs de logiciels et les équipes de développement.</w:t>
      </w:r>
    </w:p>
    <w:p w14:paraId="30C74773" w14:textId="07C1F40C" w:rsidR="000D710E" w:rsidRPr="00E34E46" w:rsidRDefault="000D710E" w:rsidP="000D710E">
      <w:pPr>
        <w:rPr>
          <w:rFonts w:eastAsia="Times New Roman"/>
          <w:szCs w:val="28"/>
        </w:rPr>
      </w:pPr>
      <w:r w:rsidRPr="00E34E46">
        <w:t>À l’instar de l’étude de cas ci-dessus, l’enquête confirme que les répondants ont identifié et réitéré certaines des mêmes constatations en ce qui concerne la prise en compte de l’accessibilité et de l’innovation en matière d’approvisionnement. Il s’agissait notamment de solliciter des personnes ayant une expérience vécue, de veiller à ce que les fournisseurs prennent des mesures correctives et de collaborer avec ces derniers ainsi que de s’assurer que les fournisseurs mettent en œuvre leurs déclarations et leurs engagements en matière d’accessibilité sur la base de résultats tangibles plutôt que symboliques.</w:t>
      </w:r>
      <w:r w:rsidR="00E60487" w:rsidRPr="00E34E46">
        <w:t xml:space="preserve"> </w:t>
      </w:r>
      <w:r w:rsidRPr="00E34E46">
        <w:t xml:space="preserve">L’enquête a fait valoir l’importance d’une </w:t>
      </w:r>
      <w:r w:rsidRPr="00E34E46">
        <w:lastRenderedPageBreak/>
        <w:t>collaboration étroite et continue avec des testeurs d’accessibilité compétents et des utilisateurs finaux afin de comprendre les besoins en matière d’accessibilité et les groupes d’utilisateurs qui seront appelés à utiliser le bien, le service ou l’installation faisant l’objet de l’achat.</w:t>
      </w:r>
    </w:p>
    <w:p w14:paraId="1081362D" w14:textId="16022A58" w:rsidR="00040382" w:rsidRPr="00E34E46" w:rsidRDefault="003C6BEF" w:rsidP="00B56537">
      <w:pPr>
        <w:pStyle w:val="Heading3"/>
        <w:rPr>
          <w:rFonts w:eastAsia="Times New Roman"/>
        </w:rPr>
      </w:pPr>
      <w:bookmarkStart w:id="169" w:name="_Toc210828558"/>
      <w:r w:rsidRPr="00E34E46">
        <w:t>5.3 Co-conception communautaire et consultations d’experts</w:t>
      </w:r>
      <w:bookmarkEnd w:id="169"/>
    </w:p>
    <w:p w14:paraId="2BE5ED1B" w14:textId="01C4ADB0" w:rsidR="006F6E0C" w:rsidRPr="00E34E46" w:rsidRDefault="001E39CD" w:rsidP="006F6E0C">
      <w:r w:rsidRPr="00E34E46">
        <w:t xml:space="preserve">Une approche de co-conception auprès de personnes ayant une expérience vécue a permis de recueillir des points de vue et de revoir et de parfaire les recommandations tout au long du projet. Comme pour d’autres aspects du modèle social du handicap, les perspectives communautaires exigent un changement accéléré – au-delà de l’intention et simplement des efforts visant à changer les mentalités. Entre les entretiens avec des experts en approvisionnement accessible, il existe un écart évident en matière non seulement de connaissances et d’expertise professionnelles, mais aussi d’attentes de la communauté. En outre, les personnes en situation de handicap peuvent faire face à des répercussions et à un état de préparation différents en ce qui concerne les programmes et les initiatives de diversité </w:t>
      </w:r>
      <w:r w:rsidRPr="00E34E46">
        <w:lastRenderedPageBreak/>
        <w:t>dans la chaîne d’approvisionnement qui sont en cours de développement pour d’autres groupes en quête d’équité. Les obstacles vont au-delà du désavantage économique; ils s’étendent à l’accessibilité physique et numérique ainsi qu’aux obstacles comportementaux et à l’indifférence. En effet, le niveau d’accessibilité et l’approvisionnement accessible sont directement liés aux conditions d’emploi, à la prestation de services et, comme l’ont indiqué les utilisateurs finaux dans le cadre de discussions sur la co-conception de l’approvisionnement accessible du point de vue de la communauté, à d’éventuels obstacles systémiques ayant davantage d’incidence sur l’accès potentiellement équitable. La recherche future devrait chercher à mieux comprendre les réalités des entreprises dirigées par des personnes en situation de handicap ainsi que des fournisseurs potentiels et des entrepreneurs en situation de handicap, ce qui dépassait le cadre du présent projet.</w:t>
      </w:r>
    </w:p>
    <w:p w14:paraId="616C8EA6" w14:textId="36BC2F00" w:rsidR="001B120B" w:rsidRPr="00E34E46" w:rsidRDefault="00A42FA9" w:rsidP="00B56537">
      <w:r w:rsidRPr="00E34E46">
        <w:t xml:space="preserve">Bien que les processus d’approvisionnement public évoluent et soient guidés par diverses politiques et règles, d’autres facteurs viennent influencer l’approvisionnement, notamment les obligations commerciales et les lois fédérales et provinciales de gestion de la conformité. Toutefois, chaque </w:t>
      </w:r>
      <w:r w:rsidRPr="00E34E46">
        <w:lastRenderedPageBreak/>
        <w:t xml:space="preserve">projet d’approvisionnement diffère aussi. D’autres organisations se concentrent d’ailleurs sur des processus définis plus strictement dans les documents, comme une DP, utilisant un langage codé qui relève du domaine public. Il y a, dans certaines organisations, un mouvement visant à mettre en relief ou à renforcer les politiques et à les harmoniser avec les préoccupations de la communauté, par exemple, le changement climatique, la diversité, l’équité et l’inclusion (DEI), ainsi que la création collaborative de valeur socioéconomique. La COVID-19 a également </w:t>
      </w:r>
      <w:proofErr w:type="gramStart"/>
      <w:r w:rsidRPr="00E34E46">
        <w:t>eu</w:t>
      </w:r>
      <w:proofErr w:type="gramEnd"/>
      <w:r w:rsidRPr="00E34E46">
        <w:t xml:space="preserve"> des répercussions sur les processus et les pratiques de modernisation alors que la société est passée quant à elle à des environnements de travail en ligne et numériques. Le refrain « Learning </w:t>
      </w:r>
      <w:proofErr w:type="gramStart"/>
      <w:r w:rsidRPr="00E34E46">
        <w:t>as</w:t>
      </w:r>
      <w:proofErr w:type="gramEnd"/>
      <w:r w:rsidRPr="00E34E46">
        <w:t xml:space="preserve"> </w:t>
      </w:r>
      <w:proofErr w:type="spellStart"/>
      <w:r w:rsidRPr="00E34E46">
        <w:t>we</w:t>
      </w:r>
      <w:proofErr w:type="spellEnd"/>
      <w:r w:rsidRPr="00E34E46">
        <w:t xml:space="preserve"> go » a été mentionné par les experts.</w:t>
      </w:r>
    </w:p>
    <w:p w14:paraId="516AB45F" w14:textId="6C63E724" w:rsidR="00A42FA9" w:rsidRPr="00E34E46" w:rsidRDefault="00A42FA9" w:rsidP="00B56537">
      <w:r w:rsidRPr="00E34E46">
        <w:t xml:space="preserve">Les personnes qui sont avancées dans leur processus d’approvisionnement accessible ont déjà établi des liens avec des personnes en situation de handicap ou avec des personnes qui défendent leurs droits pour comprendre l’incidence de leurs pratiques d’achat. Ces organisations soulignent le besoin d’intégrer les personnes en situation de handicap dans le processus, mais dans des rôles ayant des pouvoirs plus étendus, au lieu qu’elles soient liées subtilement aux équipes d’approvisionnement, en </w:t>
      </w:r>
      <w:r w:rsidRPr="00E34E46">
        <w:lastRenderedPageBreak/>
        <w:t>périphérie, ou dans des rôles de statut inférieur. C’est en partie parce que des voix issues de l’expérience vécue ne peuvent pas influencer les processus et sont perçues comme des voix consultatives seulement, ce qui limite leur influence dans les décisions ainsi que leur capacité à forcer le changement et à faire part de leurs connaissances à l’avenir. Précisons que les experts reconnaissent que l’accessibilité varie selon les secteurs et les marchés. Ils soulignent toutefois que les organisations peuvent façonner la demande de biens, de services et de produits accessibles, et ajoutent que le processus peut ouvrir des possibilités aux fournisseurs qui ont pris des engagements quant aux critères et aux exigences d’accessibilité. Néanmoins, pour que les organisations créent de bons modèles de diversité des fournisseurs, l’approche communautaire doit tenir compte de la culture, utiliser un langage inclusif et rejoindre la communauté là où elle se situe, selon son état de préparation aux processus d’approvisionnement du secteur public (la complexité, l’emploi du temps et le taux de réussite). En outre, nous revenons finalement à la case départ, pour comprendre les utilisateurs finaux et leurs besoins et savoir comment ceux-ci sont définis, communiqués et hiérarchisés.</w:t>
      </w:r>
    </w:p>
    <w:p w14:paraId="70F67E68" w14:textId="0C19FF03" w:rsidR="00C01FF8" w:rsidRPr="00E34E46" w:rsidRDefault="00F873E7" w:rsidP="007918FB">
      <w:r w:rsidRPr="00E34E46">
        <w:lastRenderedPageBreak/>
        <w:t>Les approches actuelles de l’approvisionnement accessible placent le fardeau sur les personnes en situation de handicap. Ces dernières doivent discrètement trouver des solutions de contournement, souvent par leurs propres moyens ou par leur réseau de soutien, afin de conserver un emploi ou de participer à une activité essentielle à leur bien-être professionnel et personnel. D’après ces résultats, nous avons tenté de mettre en contact les personnes ayant une expérience vécue avec des experts en approvisionnement. Par ailleurs, les principes de conception universelle peuvent venir créer des liens et jeter les bases des principes d’approvisionnement cités dans l’Accord sur les marchés publics de l’Organisation mondiale du commerce. L’image suivante illustre l’enchaînement et le lien entre les principes de conception universelle, à gauche, avec les principes de l’OMC, à droite. En effet, ces éléments sont abordés sous l’angle de l’expérience vécue. Quant aux principes de l’OMC en matière d’approvisionnement public, ils sont principalement issus de l’Accord sur les marchés publics.</w:t>
      </w:r>
    </w:p>
    <w:p w14:paraId="5A606F51" w14:textId="38D27FD8" w:rsidR="00AB4AF7" w:rsidRPr="00E34E46" w:rsidRDefault="00AB4AF7" w:rsidP="002D215D">
      <w:pPr>
        <w:pStyle w:val="APAFigureCaption"/>
      </w:pPr>
      <w:bookmarkStart w:id="170" w:name="_Toc224833495"/>
      <w:r w:rsidRPr="00E34E46">
        <w:lastRenderedPageBreak/>
        <w:t xml:space="preserve">Figure </w:t>
      </w:r>
      <w:fldSimple w:instr=" SEQ Figure \* ARABIC ">
        <w:r w:rsidR="005C5139" w:rsidRPr="00E34E46">
          <w:rPr>
            <w:noProof/>
          </w:rPr>
          <w:t>2</w:t>
        </w:r>
      </w:fldSimple>
      <w:r w:rsidR="00F073CE" w:rsidRPr="00E34E46">
        <w:t xml:space="preserve"> </w:t>
      </w:r>
      <w:r w:rsidR="00A2046A" w:rsidRPr="00E34E46">
        <w:br/>
      </w:r>
      <w:r w:rsidRPr="00E34E46">
        <w:rPr>
          <w:b w:val="0"/>
          <w:bCs w:val="0"/>
          <w:i/>
          <w:iCs/>
        </w:rPr>
        <w:t>Réseautage des principes de conception universelle avec ceux de l’Accord sur les marchés publics de l’OMC</w:t>
      </w:r>
      <w:bookmarkEnd w:id="170"/>
    </w:p>
    <w:p w14:paraId="112819C9" w14:textId="69F8DAE9" w:rsidR="00236FCD" w:rsidRPr="00E34E46" w:rsidRDefault="006C69B2" w:rsidP="00005F90">
      <w:pPr>
        <w:ind w:firstLine="0"/>
      </w:pPr>
      <w:r w:rsidRPr="00E34E46">
        <w:rPr>
          <w:noProof/>
        </w:rPr>
        <w:drawing>
          <wp:inline distT="0" distB="0" distL="0" distR="0" wp14:anchorId="0AF2FEBB" wp14:editId="6ABC3910">
            <wp:extent cx="5943600" cy="4456430"/>
            <wp:effectExtent l="0" t="0" r="0" b="1270"/>
            <wp:docPr id="2066026434" name="Picture 2" descr="Les principes de conception universelle se trouvent à gauche, chacun étant représenté par une sphère. Sur le côté gauche, les principes sont énumérés de haut en bas : utilisation équitable, souplesse d’utilisation, simplicité et intuitivité, information perceptible, marge d’erreur, faible effort physique et facilité d’approche. Les principes du commerce mondial se trouvent à gauche, du haut vers le bas : reddition de comptes, justice, non-discrimination et transpa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26434" name="Picture 2" descr="Les principes de conception universelle se trouvent à gauche, chacun étant représenté par une sphère. Sur le côté gauche, les principes sont énumérés de haut en bas : utilisation équitable, souplesse d’utilisation, simplicité et intuitivité, information perceptible, marge d’erreur, faible effort physique et facilité d’approche. Les principes du commerce mondial se trouvent à gauche, du haut vers le bas : reddition de comptes, justice, non-discrimination et transparence. "/>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6430"/>
                    </a:xfrm>
                    <a:prstGeom prst="rect">
                      <a:avLst/>
                    </a:prstGeom>
                  </pic:spPr>
                </pic:pic>
              </a:graphicData>
            </a:graphic>
          </wp:inline>
        </w:drawing>
      </w:r>
    </w:p>
    <w:p w14:paraId="159942B2" w14:textId="519E24B0" w:rsidR="00974EDF" w:rsidRPr="00E34E46" w:rsidRDefault="00974EDF" w:rsidP="00B56537">
      <w:r w:rsidRPr="00E34E46">
        <w:rPr>
          <w:rStyle w:val="Emphasis"/>
        </w:rPr>
        <w:t xml:space="preserve">Description de l’image : </w:t>
      </w:r>
      <w:r w:rsidRPr="00E34E46">
        <w:t xml:space="preserve">Les principes de conception universelle se trouvent à gauche, chacun étant représenté par une sphère. Sur le côté </w:t>
      </w:r>
      <w:r w:rsidRPr="00E34E46">
        <w:lastRenderedPageBreak/>
        <w:t>gauche, les principes sont énumérés de haut en bas : utilisation équitable, souplesse d’utilisation, simplicité et intuitivité, information perceptible, marge d’erreur, faible effort physique et facilité d’approche. Les principes du commerce mondial se trouvent à gauche, du haut vers le bas : reddition de comptes, justice, non-discrimination et transparence. Les sept principes de conception universelle sont reliés à la non-discrimination par des lignes courbes. Six d’entre eux, à l’exception du dernier, sont liés à la reddition de comptes. Cinq principes de conception universelle sont liés à la transparence, la marge d’erreur et à la souplesse d’utilisation faisant exception. Les sept sont liés à la justice.</w:t>
      </w:r>
    </w:p>
    <w:p w14:paraId="53727881" w14:textId="60A5CD24" w:rsidR="00997450" w:rsidRPr="00E34E46" w:rsidRDefault="00C01FF8" w:rsidP="00B56537">
      <w:r w:rsidRPr="00E34E46">
        <w:t xml:space="preserve">Nous espérons montrer comment les préoccupations et les perspectives divergent et convergent. Le schéma illustre les nombreux liens possibles en fonction de qui définit et met en œuvre les principes et de la façon d’y arriver. Les professionnels de l’approvisionnement qui mettent l’accent sur les conversations et les questions destinées aux fournisseurs peuvent accroître la sensibilisation et rehausser les attentes en matière d’approvisionnement accessible. Pour bien des gens, l’approvisionnement accessible est un domaine niché, qu’il soit lié à l’approvisionnement social ou </w:t>
      </w:r>
      <w:r w:rsidRPr="00E34E46">
        <w:lastRenderedPageBreak/>
        <w:t>durable, ou qu’il fasse partie d’une stratégie, d’une politique ou d’un cadre directement engagé.</w:t>
      </w:r>
    </w:p>
    <w:p w14:paraId="24710F4F" w14:textId="53BBC421" w:rsidR="00345181" w:rsidRPr="00E34E46" w:rsidRDefault="00A42FA9" w:rsidP="00B56537">
      <w:pPr>
        <w:rPr>
          <w:color w:val="000000"/>
        </w:rPr>
      </w:pPr>
      <w:r w:rsidRPr="00E34E46">
        <w:t>Le rapport a fait ressortir le fait que l’approche des organisations en matière d’approvisionnement, la gestion de priorités concurrentes ainsi que la gestion du manque de ressources, de temps, de personnel et d’expertise peuvent faire obstacle à la mise en œuvre de l’approvisionnement accessible. Cependant, les résultats révèlent également que l’intention dans les conversations, le recours à des outils tels que des questionnaires d’autoévaluation, la communication des valeurs et des attentes, et l’intégration des exigences dès la phase de planification peuvent contribuer à intégrer l’accessibilité de sorte qu’elle ne soit pas un ajout en fin de processus qui nécessitera des corrections onéreuses. L’approche des organisations qui sont en tête de file en matière d’accessibilité et qui ont une grande conscience en la matière diffère en ce qui a trait aux points de départ et aux priorités. Les résultats montrent que la préparation organisationnelle à l’accessibilité, l’échange de connaissances interfonctionnel et l’intégration de personnes ayant une expérience vécue peuvent aider à exprimer les répercussions de l’approvisionnement accessible.</w:t>
      </w:r>
    </w:p>
    <w:p w14:paraId="05968B37" w14:textId="65600EF6" w:rsidR="00A42FA9" w:rsidRPr="00E34E46" w:rsidRDefault="00A42FA9" w:rsidP="00B56537">
      <w:r w:rsidRPr="00E34E46">
        <w:rPr>
          <w:color w:val="000000"/>
        </w:rPr>
        <w:lastRenderedPageBreak/>
        <w:t xml:space="preserve">À mesure que les différents projets étaient triangulés, des thèmes clairs et des recommandations émergeaient. </w:t>
      </w:r>
      <w:r w:rsidRPr="00E34E46">
        <w:t xml:space="preserve">Il existe un nombre limité de réseaux pour les fournisseurs en situation de handicap au Canada (TRAES, 2024). De plus, contrairement aux rapports sur l’accessibilité mentionnés précédemment dans ce chapitre, nous avons cherché à comprendre l’état de préparation des organisations en matière d’approvisionnement accessible au Canada, en relevant leurs obstacles et les éléments qui le favorisent. L’enquête a été rédigée en fonction des résultats de la recherche et des entretiens précédents. On espère qu’une enquête nationale sera menée à intervalles semi-réguliers dans le domaine de l’approvisionnement général afin qu’une plus grande quantité d’information soit recueillie, comme ce fut le cas pour l’approvisionnement durable. Or, il faut davantage d’études de cas publiques sur l’approvisionnement accessible. Les études de cas viennent mettre en lumière les leçons apprises et démontrer que la réussite est possible. Nous avons non seulement intégré des perspectives issues de la </w:t>
      </w:r>
      <w:proofErr w:type="spellStart"/>
      <w:r w:rsidRPr="00E34E46">
        <w:t>co-création</w:t>
      </w:r>
      <w:proofErr w:type="spellEnd"/>
      <w:r w:rsidRPr="00E34E46">
        <w:t xml:space="preserve"> avec des personnes ayant une expérience vécue, y compris des personnes en situation de handicap, mais aussi des entrevues réalisées auprès d’un nombre croissant d’experts en approvisionnement accessible et de professionnels de l’approvisionnement. Nous espérons que les </w:t>
      </w:r>
      <w:r w:rsidRPr="00E34E46">
        <w:lastRenderedPageBreak/>
        <w:t>recommandations thématiques pour les normes développées ici reflètent leurs perspectives, leurs conseils et leurs succès.</w:t>
      </w:r>
    </w:p>
    <w:p w14:paraId="33CDE41D" w14:textId="77777777" w:rsidR="00B80CC6" w:rsidRPr="00E34E46" w:rsidRDefault="00B80CC6" w:rsidP="00B56537">
      <w:pPr>
        <w:rPr>
          <w:rFonts w:cstheme="majorBidi"/>
          <w:color w:val="0F4761" w:themeColor="accent1" w:themeShade="BF"/>
          <w:sz w:val="32"/>
          <w:szCs w:val="32"/>
        </w:rPr>
      </w:pPr>
      <w:r w:rsidRPr="00E34E46">
        <w:br w:type="page"/>
      </w:r>
    </w:p>
    <w:p w14:paraId="2069966C" w14:textId="153B587A" w:rsidR="00A42FA9" w:rsidRPr="00E34E46" w:rsidRDefault="00541F58" w:rsidP="00B56537">
      <w:pPr>
        <w:pStyle w:val="Heading2"/>
      </w:pPr>
      <w:bookmarkStart w:id="171" w:name="_Toc224836480"/>
      <w:bookmarkStart w:id="172" w:name="_Toc224836708"/>
      <w:r w:rsidRPr="00E34E46">
        <w:lastRenderedPageBreak/>
        <w:t>Chapitre 6 : Un modèle accessible et résilient de la chaîne d’approvisionnement</w:t>
      </w:r>
      <w:bookmarkEnd w:id="171"/>
      <w:bookmarkEnd w:id="172"/>
    </w:p>
    <w:p w14:paraId="55454A08" w14:textId="312ADF91" w:rsidR="00AC6C3E" w:rsidRPr="00E34E46" w:rsidRDefault="00B47DBC" w:rsidP="00BA680A">
      <w:r w:rsidRPr="00E34E46">
        <w:t xml:space="preserve">Une chaîne d’approvisionnement est un réseau d’activités et de matériaux qui sont formellement regroupés pour créer et gérer des biens, des services et des installations. Les chaînes d’approvisionnement entre les secteurs public et privé et les industries diffèrent. Dans le secteur public, la complexité est guidée par un modèle de prestation de services basé sur la </w:t>
      </w:r>
      <w:proofErr w:type="spellStart"/>
      <w:r w:rsidRPr="00E34E46">
        <w:t>co-création</w:t>
      </w:r>
      <w:proofErr w:type="spellEnd"/>
      <w:r w:rsidRPr="00E34E46">
        <w:t xml:space="preserve"> de valeur entre l’utilisateur et l’acheteur (Sienkiewicz-</w:t>
      </w:r>
      <w:proofErr w:type="spellStart"/>
      <w:r w:rsidRPr="00E34E46">
        <w:t>Małyjurek</w:t>
      </w:r>
      <w:proofErr w:type="spellEnd"/>
      <w:r w:rsidRPr="00E34E46">
        <w:t xml:space="preserve"> et Szymczak, 2024), ce qui influence la gestion et le modèle de la chaîne d’approvisionnement dans les organismes publics. La gestion des chaînes d’approvisionnement est concentrée sur la collaboration, l’intégration, la résilience, le rôle des décisionnaires, la gouvernance et les nouvelles technologies, telles que les outils d’IA et les plateformes numériques (Sienkiewicz-</w:t>
      </w:r>
      <w:proofErr w:type="spellStart"/>
      <w:r w:rsidRPr="00E34E46">
        <w:t>Małyjurek</w:t>
      </w:r>
      <w:proofErr w:type="spellEnd"/>
      <w:r w:rsidRPr="00E34E46">
        <w:t xml:space="preserve"> et Szymczak, 2024). Selon l’analyse documentaire réalisée, il y a une distinction à faire entre une chaîne d’approvisionnement pour la prestation de services et une chaîne d’approvisionnement pour l’acheminement des matières. Cette dernière se caractérise par le besoin de </w:t>
      </w:r>
      <w:r w:rsidRPr="00E34E46">
        <w:lastRenderedPageBreak/>
        <w:t>transparence des investissements publics par rapport à la recherche du profit des secteurs privés. La gestion des chaînes d’approvisionnement dans le secteur public se concentre souvent, donc, sur la synchronisation et l’intégration des ressources (ibidem). La complexité continue d’augmenter, car les organisations publiques peuvent également agir en tant qu’organisateurs, facilitateurs et membres du réseau de la chaîne d’approvisionnement, en agissant à la fois en interne et en externe dans les réseaux des chaînes d’approvisionnement.</w:t>
      </w:r>
    </w:p>
    <w:p w14:paraId="731D234D" w14:textId="266AFFC7" w:rsidR="002379EF" w:rsidRPr="00E34E46" w:rsidRDefault="00B26CF7" w:rsidP="00B56537">
      <w:r w:rsidRPr="00E34E46">
        <w:t xml:space="preserve">Contrairement aux partenariats public-privé, un autre aspect du modèle de chaîne d’approvisionnement du secteur public est l’inclusion des personnes qui bénéficient directement de la prestation de services pour favoriser des relations étroites entre le secteur public et les communautés, comme le souligne l’approvisionnement autochtone. La différenciation entre les chaînes d’approvisionnement centralisées et décentralisées peut également influencer la coordination des ressources et du temps dans les réseaux. En outre, parallèlement à la collaboration et à l’échange de renseignements, la confiance devient un enjeu crucial (ibidem) lorsque les activités reposent sur des contrats, tel que souligné dans l’étude de cas du </w:t>
      </w:r>
      <w:r w:rsidRPr="00E34E46">
        <w:lastRenderedPageBreak/>
        <w:t>chapitre précédent. La confiance et la collaboration entre l’organisation A et le fournisseur tout au long de leur relation ont été établies formellement par l’accord contractuel, puis de manière informelle par l’échange de connaissances et la collaboration entre les équipes dans les organisations. La communication partagée visait l’élaboration de solutions de contournement en matière d’accessibilité. Dans leur cadre, Sienkiewicz-</w:t>
      </w:r>
      <w:proofErr w:type="spellStart"/>
      <w:r w:rsidRPr="00E34E46">
        <w:t>Małyjurek</w:t>
      </w:r>
      <w:proofErr w:type="spellEnd"/>
      <w:r w:rsidRPr="00E34E46">
        <w:t xml:space="preserve"> et Szymczak (2024) présentent une fusion des principes agiles et des principes Lean dans la gestion et la résilience de la chaîne d’approvisionnement, et ceci nécessite une étude approfondie à mesure que la recherche sur l’approvisionnement accessible évolue.</w:t>
      </w:r>
    </w:p>
    <w:p w14:paraId="5512B9B8" w14:textId="25211E72" w:rsidR="0087351A" w:rsidRPr="00E34E46" w:rsidRDefault="00B037D0" w:rsidP="00B56537">
      <w:r w:rsidRPr="00E34E46">
        <w:t xml:space="preserve">Les décisionnaires doivent néanmoins prendre en compte la nature du modèle de chaîne d’approvisionnement (p. ex., un système à boucle ouverte ou fermée, un système à deux niveaux ou plus ou un système complexe) afin de développer une approche de modélisation de la prise de décision en temps réel, avec ses contraintes et sa complexité (Agi et coll., 2021). Les boucles fermées et ouvertes décrivent le flux de biens et de matériaux au sein des systèmes et entre eux, comme le retour de matériaux ou de déchets au fournisseur d’origine (boucle fermée) ou l’introduction de </w:t>
      </w:r>
      <w:r w:rsidRPr="00E34E46">
        <w:lastRenderedPageBreak/>
        <w:t>matériaux réutilisés dans une nouvelle organisation dans un flux à boucle ouverte (Montag, 2023). La gestion de la chaîne d’approvisionnement passe de systèmes linéaires à boucle fermée à des systèmes circulaires à boucle ouverte à plusieurs niveaux, la modélisation est adaptée aux particularités de la chaîne d’approvisionnement. Il existe toutefois des approches comme les évaluations du cycle de vie en comparaison avec la gestion de la chaîne d’approvisionnement afin de positionner et de créer un modèle de chaîne d’approvisionnement. De futures recherches pourraient explorer la gestion de la chaîne d’approvisionnement et l’approvisionnement accessible. Cependant, dans ce domaine, nous avons adopté une perspective de cycle de vie.</w:t>
      </w:r>
    </w:p>
    <w:p w14:paraId="0FC1DD21" w14:textId="50D4F32E" w:rsidR="00826654" w:rsidRPr="00E34E46" w:rsidRDefault="007F3972" w:rsidP="00B56537">
      <w:r w:rsidRPr="00E34E46">
        <w:t xml:space="preserve">Contrairement à la littérature universitaire sur la gestion de la chaîne d’approvisionnement, par exemple, l’approvisionnement écologique et l’approvisionnement durable, il n’existe actuellement aucune recherche qui, à ce jour, aborde un modèle de chaîne d’approvisionnement accessible et inclusif dans notre travail. De manière comparable aux cadres d’approvisionnement abordés dans le chapitre 2, les modèles de chaîne d’approvisionnement peuvent être agiles et souples, résilients et inclusifs. </w:t>
      </w:r>
      <w:r w:rsidRPr="00E34E46">
        <w:lastRenderedPageBreak/>
        <w:t>Une étude comparative détaillée de la gestion des chaînes d’approvisionnement et des modèles d’accessibilité est d’ailleurs requise dans les différents secteurs d’activités. Toutefois, il faut remédier au manque actuel de données et de preuves.</w:t>
      </w:r>
    </w:p>
    <w:p w14:paraId="198FA5B6" w14:textId="36DE23B3" w:rsidR="001B270F" w:rsidRPr="00E34E46" w:rsidRDefault="002463B1" w:rsidP="00B56537">
      <w:r w:rsidRPr="00E34E46">
        <w:t>Depuis la pandémie, le public est davantage sensibilisé aux vulnérabilités des chaînes d’approvisionnement. Dans cette recherche, nous ne pouvons pas aborder l’ensemble de la chaîne d’approvisionnement; nous nous concentrons plutôt sur le développement de l’inclusion des personnes en situation de handicap dans les chaînes d’approvisionnement actuelles au Canada. Nous avons mis l’accent sur l’élaboration, dès les premières phases du processus, d’un modèle accessible et résilient de la chaîne d’approvisionnement</w:t>
      </w:r>
      <w:r w:rsidR="00E60487" w:rsidRPr="00E34E46">
        <w:t>.</w:t>
      </w:r>
    </w:p>
    <w:p w14:paraId="017ACD53" w14:textId="030C6751" w:rsidR="00957B03" w:rsidRPr="00E34E46" w:rsidRDefault="00525F26" w:rsidP="00B56537">
      <w:r w:rsidRPr="00E34E46">
        <w:t xml:space="preserve">Selon la transmission de l’approvisionnement accessible, qui s’est fait tôt dans le processus, dans les organisations et les entités du secteur public canadien, l’élaboration d’un modèle de chaîne d’approvisionnement accessible et inclusif est un composé intéressant, influencé par de nombreuses forces différentes. La croissance et l’adoption des chaînes d’approvisionnement résilientes sont axées sur la réponse aux facteurs </w:t>
      </w:r>
      <w:r w:rsidRPr="00E34E46">
        <w:lastRenderedPageBreak/>
        <w:t>environnementaux et humains qui peuvent provoquer des perturbations ou entraver le flux efficace des biens et des matériaux à travers les réseaux d’approvisionnement interconnectés (</w:t>
      </w:r>
      <w:proofErr w:type="spellStart"/>
      <w:r w:rsidRPr="00E34E46">
        <w:t>Katsaliaki</w:t>
      </w:r>
      <w:proofErr w:type="spellEnd"/>
      <w:r w:rsidRPr="00E34E46">
        <w:t xml:space="preserve"> et coll., 2022). Les chaînes d’approvisionnement résilientes ont pour but de développer des plans de contingence et des cadres de gestion des risques pour résister aux perturbations et les gérer pour éviter qu’une organisation interrompe ses activités ou du moins pour qu’elle puisse reprendre ses activités.</w:t>
      </w:r>
    </w:p>
    <w:p w14:paraId="054F4AD8" w14:textId="222F9B62" w:rsidR="00B87868" w:rsidRPr="00E34E46" w:rsidRDefault="00AF5D10" w:rsidP="00B56537">
      <w:proofErr w:type="spellStart"/>
      <w:r w:rsidRPr="00E34E46">
        <w:t>Katsaliaki</w:t>
      </w:r>
      <w:proofErr w:type="spellEnd"/>
      <w:r w:rsidRPr="00E34E46">
        <w:t xml:space="preserve"> et ses collaborateurs (2022), dans leur revue bibliométrique, soulignent que les chaînes d’approvisionnement résilientes, en plus de chercher à atténuer les risques futurs, s’éloignent de l’approche traditionnelle de gestion des risques pour prévoir les futures perturbations et s’y adapter. La littérature universitaire croît depuis 2004, elle qui aborde des domaines importants sur les méthodes d’atténuation des risques, les méthodes pour gérer les perturbations, la définition de la résilience, ainsi que l’incidence des technologies et des outils numériques émergents, notamment l’IA (ibidem). Leurs revues soulignent que les recherches sur les perturbations cherchent à comprendre les types et les causes des perturbations de la chaîne d’approvisionnement, qui couvrent les problèmes </w:t>
      </w:r>
      <w:r w:rsidRPr="00E34E46">
        <w:lastRenderedPageBreak/>
        <w:t>de production, de transport et d’approvisionnement (</w:t>
      </w:r>
      <w:proofErr w:type="spellStart"/>
      <w:r w:rsidRPr="00E34E46">
        <w:t>Katsaliaki</w:t>
      </w:r>
      <w:proofErr w:type="spellEnd"/>
      <w:r w:rsidRPr="00E34E46">
        <w:t xml:space="preserve"> et coll., 2022). Cette analyse soulève plusieurs causes différentes, notamment les catastrophes naturelles, le manque de flexibilité des systèmes et de la sélection des fournisseurs, la pénurie d’informations, les prévisions inexactes, les échelles de la clientèle, les risques liés aux taux de change, la propriété intellectuelle, et l’incertitude créée par l’offre ou la demande (ibidem). Particulièrement, la littérature mentionne différentes formes de risques, abordant les facteurs de risque liés aux processus, au contrôle, à la demande, à l’approvisionnement et à l’environnement, mais aussi en traitant des risques industriels (influant sur la chaîne d’approvisionnement), ceux liés à l’organisation interne, ceux qui sont propres aux problèmes, ou encore les risques pour les décideurs. L’effet d’entraînement est une caractéristique clé de la résilience du modèle de la chaîne d’approvisionnement, où une perturbation locale peut s’étendre et amplifier son incidence dans l’ensemble de la chaîne d’approvisionnement (ibidem), entravant ainsi le rendement et la situation financière des organisations. </w:t>
      </w:r>
      <w:proofErr w:type="spellStart"/>
      <w:r w:rsidRPr="00E34E46">
        <w:t>Katsaliaki</w:t>
      </w:r>
      <w:proofErr w:type="spellEnd"/>
      <w:r w:rsidRPr="00E34E46">
        <w:t xml:space="preserve"> et ses collaborateurs (2022) mentionnent que les chercheurs (Hendricks et Singhal, 2005) ont quantifié les répercussions des perturbations dans les chaînes d’approvisionnement, qui seraient associées à une perte de 107 % des </w:t>
      </w:r>
      <w:r w:rsidRPr="00E34E46">
        <w:lastRenderedPageBreak/>
        <w:t>budgets d’exploitation, à une baisse des ventes et à une hausse des coûts connexes.</w:t>
      </w:r>
    </w:p>
    <w:p w14:paraId="4918FBBA" w14:textId="0DE44760" w:rsidR="002463B1" w:rsidRPr="00E34E46" w:rsidRDefault="002463B1" w:rsidP="00B56537">
      <w:r w:rsidRPr="00E34E46">
        <w:t>Il existe pour l’avenir quelques approches intéressantes à comment l’approvisionnement accessible peut, dans une organisation, contribuer à surmonter des perturbations liées à l’inaccessibilité et à y résister. Selon leurs recherches, les stratégies suivantes servent à se remettre des perturbations ou à y résister : intégrer des redondances et augmenter la flexibilité, par exemple en utilisant des stocks tampons ou des solutions de sauvegarde; améliorer les prévisions et mieux coordonner les différents niveaux des chaînes d’approvisionnement pour faire face aux perturbations; et utiliser des outils d’autoévaluation pour mesurer la résilience de l’organisation (</w:t>
      </w:r>
      <w:proofErr w:type="spellStart"/>
      <w:r w:rsidRPr="00E34E46">
        <w:t>Katsaliaki</w:t>
      </w:r>
      <w:proofErr w:type="spellEnd"/>
      <w:r w:rsidRPr="00E34E46">
        <w:t xml:space="preserve"> et coll., 2022). Des méthodes et des modèles quantitatifs, comme les modèles d’optimisation mathématique, sont également élaborés par les chercheurs. Grâce à ces modèles, il est possible de prendre en compte un vaste éventail de variables et de paramètres pour minimiser les risques et définir des politiques. Toutefois, ils ne parviennent pas bien souvent à refléter les réalités dynamiques des chaînes d’approvisionnement. Les avancées technologiques renforcent quant à elle le </w:t>
      </w:r>
      <w:r w:rsidRPr="00E34E46">
        <w:lastRenderedPageBreak/>
        <w:t>pouvoir explicatif de la modélisation prédictive (comme les scénarios hypothétiques), et de nouveaux outils et développements technologiques se multiplient, améliorant ainsi la prise de décision grâce à un nombre croissant de points de données et de systèmes. Ceux-ci permettent d’intégrer des analyses comportementales, des systèmes de gestion des risques, ainsi que des technologies comme l’Internet des objets et la chaîne de blocs, sans compter la théorie des jeux et les techniques de visualisation des données (ibidem). D’ailleurs, leur examen fait valoir l’importance de la technologie dans l’avenir des chaînes d’approvisionnement et de la modélisation. Les chaînes de blocs sont, de plus, particulièrement mises de l’avant pour gérer la complexité des chaînes d’approvisionnement (</w:t>
      </w:r>
      <w:proofErr w:type="spellStart"/>
      <w:r w:rsidRPr="00E34E46">
        <w:t>Katsaliaki</w:t>
      </w:r>
      <w:proofErr w:type="spellEnd"/>
      <w:r w:rsidRPr="00E34E46">
        <w:t xml:space="preserve"> et coll., 2022; Sienkiewicz-</w:t>
      </w:r>
      <w:proofErr w:type="spellStart"/>
      <w:r w:rsidRPr="00E34E46">
        <w:t>Małyjurek</w:t>
      </w:r>
      <w:proofErr w:type="spellEnd"/>
      <w:r w:rsidRPr="00E34E46">
        <w:t xml:space="preserve"> et Szymczak, 2024) et les logiciels numériques en expansion – par exemple, les logiciels de planification des ressources d’entreprise – qui centralisent les activités quotidiennes des organisations. D’autres modèles de chaînes d’approvisionnement ne sont pas aussi étroitement liés aux modèles de chaînes d’approvisionnement résilientes.</w:t>
      </w:r>
    </w:p>
    <w:p w14:paraId="7B095310" w14:textId="0992E328" w:rsidR="00C14F4B" w:rsidRPr="00E34E46" w:rsidRDefault="00FB16C0" w:rsidP="00B56537">
      <w:r w:rsidRPr="00E34E46">
        <w:t xml:space="preserve">Une approche agile ne peut être envisagée si les marchés ne sont pas prêts et si les fournisseurs potentiels possédant l’expertise et les </w:t>
      </w:r>
      <w:r w:rsidRPr="00E34E46">
        <w:lastRenderedPageBreak/>
        <w:t>connaissances nécessaires ne peuvent pas participer aux processus d’approvisionnement en raison d’une exclusion historique. Soulignons que les approches Lean ne s’appliquent pas de la même façon lorsque les produits et les services doivent être développés dans le cadre d’une collaboration étroite, comme le montre l’étude de cas (chapitre 5.1). L’accessibilité peut être pratiquée et mise en œuvre en fonction des réalités et des réseaux locaux. Cependant, l’harmonisation croissante des normes (EN 301 549, par exemple) ainsi que les appels aux principes de conception inclusive ou universelle émergent de plus en plus dans des contextes mondiaux. Comme nous l’avons constaté dans les raisons derrière la mise en œuvre de l’approvisionnement accessible, c’est ainsi que les organisations ont accès à des réseaux mondiaux, voire à des chefs de file de l’industrie.</w:t>
      </w:r>
    </w:p>
    <w:p w14:paraId="66AC046C" w14:textId="63211F44" w:rsidR="004105F1" w:rsidRPr="00E34E46" w:rsidRDefault="00EF61F1" w:rsidP="00B56537">
      <w:r w:rsidRPr="00E34E46">
        <w:t xml:space="preserve">Il existe de nombreuses approches novatrices, en particulier en ce qui concerne la recherche sur la production et la fabrication liées à la modélisation quantitative. Une mise en correspondance approfondie de ces approches ne faisait pas partie de la portée du projet. Par exemple, on a déterminé une règle fondée sur la confiance comme méthode solide pour sélectionner les fournisseurs au moyen d’un modèle de simulation basé sur </w:t>
      </w:r>
      <w:r w:rsidRPr="00E34E46">
        <w:lastRenderedPageBreak/>
        <w:t>des agents (Hou et coll., 2019), dans le contexte des perturbations opérationnelles. L’échange de renseignements et les relations collaboratives sont d’autres éléments pouvant être explorés avec d’autres modèles, et la prise de décision peut être appuyée par la théorie des jeux – consultez le tableau 5 (</w:t>
      </w:r>
      <w:proofErr w:type="spellStart"/>
      <w:r w:rsidRPr="00E34E46">
        <w:t>Katsaliaki</w:t>
      </w:r>
      <w:proofErr w:type="spellEnd"/>
      <w:r w:rsidRPr="00E34E46">
        <w:t xml:space="preserve"> et coll., 2022). Cependant, ce niveau de détail et d’information (données) doit permettre l’application ou la définition d’un modèle d’analyse, qu’il soit prédictif ou explicatif.</w:t>
      </w:r>
    </w:p>
    <w:p w14:paraId="4338653B" w14:textId="08B95437" w:rsidR="0098771F" w:rsidRPr="00E34E46" w:rsidRDefault="00650F52" w:rsidP="00B56537">
      <w:r w:rsidRPr="00E34E46">
        <w:t>Plus tôt, une image révélait le lien étroit entre les principes de conception universelle et les principes d’approvisionnement dans les secteurs publics. Nous avons choisi d’utiliser symboliquement sept nœuds de concentration pour créer et développer un modèle de chaîne d’approvisionnement accessible et inclusif, en hommage aux principes traditionnels de conception universelle. Tout comme les recommandations du chapitre 4, il y a à la fois les éléments et les processus organisationnels internes et les activités des intervenants. Pour créer un modèle de chaîne d’approvisionnement accessible et résilient, nous avons décomposé certains piliers et certaines variables potentielles à prendre en compte pour les futurs travaux et la validation par les experts.</w:t>
      </w:r>
    </w:p>
    <w:p w14:paraId="579999C5" w14:textId="354832CB" w:rsidR="001E5A29" w:rsidRPr="00E34E46" w:rsidRDefault="001E5A29" w:rsidP="00B56537">
      <w:pPr>
        <w:pStyle w:val="Heading3"/>
      </w:pPr>
      <w:bookmarkStart w:id="173" w:name="_Toc210828561"/>
      <w:r w:rsidRPr="00E34E46">
        <w:lastRenderedPageBreak/>
        <w:t>Un modèle accessible et résilient de la chaîne d’approvisionnement</w:t>
      </w:r>
      <w:bookmarkEnd w:id="173"/>
    </w:p>
    <w:p w14:paraId="5A3A54DE" w14:textId="48E073A8" w:rsidR="00650F52" w:rsidRPr="00E34E46" w:rsidRDefault="0002071C" w:rsidP="00B56537">
      <w:r w:rsidRPr="00E34E46">
        <w:t>Les débuts d’un modèle de chaîne d’approvisionnement accessible et résilient pourraient comprendre les catégorisations suivantes, avec un niveau de maturité défini par les types d’activités entreprises au moyen des principes de création de valeur tout au long des processus et dans les réseaux de la chaîne d’approvisionnement. D’autres activités peuvent s’ajouter à la suite des recommandations figurant au chapitre 4. Une chaîne d’approvisionnement accessible et résiliente pourrait comprendre ce qui suit :</w:t>
      </w:r>
    </w:p>
    <w:p w14:paraId="563E89E1" w14:textId="65C1DE47" w:rsidR="00AA0429" w:rsidRPr="00E34E46" w:rsidRDefault="00261694" w:rsidP="00E44F9E">
      <w:pPr>
        <w:pStyle w:val="ListParagraph"/>
        <w:numPr>
          <w:ilvl w:val="1"/>
          <w:numId w:val="3"/>
        </w:numPr>
      </w:pPr>
      <w:r w:rsidRPr="00E34E46">
        <w:rPr>
          <w:b/>
        </w:rPr>
        <w:t>Systèmes centrés sur les gens :</w:t>
      </w:r>
      <w:r w:rsidRPr="00E34E46">
        <w:t xml:space="preserve"> Respecter et se conformer aux lois nationales et provinciales relatives aux droits de la personne, à l’équité en matière d’emploi et à l’accessibilité à tous les niveaux. Aider également les gens à naviguer dans les systèmes d’approvisionnement et la préparation des soumissions afin de répondre aux besoins en matière d’accessibilité.</w:t>
      </w:r>
    </w:p>
    <w:p w14:paraId="1CDB5190" w14:textId="5979395C" w:rsidR="0090309E" w:rsidRPr="00E34E46" w:rsidRDefault="005B7BAE" w:rsidP="00E44F9E">
      <w:pPr>
        <w:pStyle w:val="ListParagraph"/>
        <w:numPr>
          <w:ilvl w:val="1"/>
          <w:numId w:val="3"/>
        </w:numPr>
      </w:pPr>
      <w:r w:rsidRPr="00E34E46">
        <w:rPr>
          <w:b/>
        </w:rPr>
        <w:lastRenderedPageBreak/>
        <w:t>Inclusion intentionnelle :</w:t>
      </w:r>
      <w:r w:rsidRPr="00E34E46">
        <w:t xml:space="preserve"> Favoriser de manière intentionnelle l’accessibilité et l’inclusion des personnes en situation de handicap. Poser des questions aux fournisseurs potentiels et actuels. Faire preuve d’engagement et d’influence. Reconnaître les dates clés, comme la Journée internationale des personnes en situation de handicap ou le Mois de la sensibilisation à la </w:t>
      </w:r>
      <w:proofErr w:type="spellStart"/>
      <w:r w:rsidRPr="00E34E46">
        <w:t>surdicécité</w:t>
      </w:r>
      <w:proofErr w:type="spellEnd"/>
      <w:r w:rsidRPr="00E34E46">
        <w:t>, visiter divers événements communautaires sur le handicap, et comprendre les obstacles auxquels se heurtent les personnes ayant une expérience vécue. Aborder le handicap en même temps que l’intersectionnalité.</w:t>
      </w:r>
    </w:p>
    <w:p w14:paraId="2A1DAD04" w14:textId="1A9A6A06" w:rsidR="00C4132E" w:rsidRPr="00E34E46" w:rsidRDefault="00C764BD" w:rsidP="00E44F9E">
      <w:pPr>
        <w:pStyle w:val="ListParagraph"/>
        <w:numPr>
          <w:ilvl w:val="1"/>
          <w:numId w:val="3"/>
        </w:numPr>
      </w:pPr>
      <w:r w:rsidRPr="00E34E46">
        <w:rPr>
          <w:b/>
        </w:rPr>
        <w:t>Prise en compte des risques et des récompenses :</w:t>
      </w:r>
      <w:r w:rsidRPr="00E34E46">
        <w:t xml:space="preserve"> Créer un cadre d’évaluation des risques qui encourage l’accessibilité dans les premières étapes de l’approvisionnement afin de réduire l’investissement des ressources et les coûts d’une future correction. Aborder, pour les fournisseurs potentiels, les risques et les récompenses qui entravent la participation des personnes en situation de handicap. Soutenir la divulgation sécuritaire et confidentielle du handicap dans les systèmes et les mécanismes </w:t>
      </w:r>
      <w:r w:rsidRPr="00E34E46">
        <w:lastRenderedPageBreak/>
        <w:t>d’inscription des propriétaires d’entreprises en situation de handicap.</w:t>
      </w:r>
    </w:p>
    <w:p w14:paraId="429C80C2" w14:textId="30E2155D" w:rsidR="00FA351E" w:rsidRPr="00E34E46" w:rsidRDefault="00172976" w:rsidP="00E44F9E">
      <w:pPr>
        <w:pStyle w:val="ListParagraph"/>
        <w:numPr>
          <w:ilvl w:val="1"/>
          <w:numId w:val="3"/>
        </w:numPr>
      </w:pPr>
      <w:r w:rsidRPr="00E34E46">
        <w:rPr>
          <w:b/>
        </w:rPr>
        <w:t>Offre de souplesse :</w:t>
      </w:r>
      <w:r w:rsidRPr="00E34E46">
        <w:t xml:space="preserve"> Rendre le processus d’approvisionnement accessible et le simplifier, organiser des événements accessibles et inclusifs, offrir de la flexibilité afin de répondre aux besoins d’accessibilité lorsqu’ils sont soulevés ou requis, permettre de nouvelles méthodes pour démontrer les capacités, et offrir plusieurs modes de communication, notamment l’interprétation en langage visuel, le langage clair, ainsi que le contenu et les sites Web accessibles.</w:t>
      </w:r>
    </w:p>
    <w:p w14:paraId="00E9D4D8" w14:textId="6C5A5890" w:rsidR="00F53BA6" w:rsidRPr="00E34E46" w:rsidRDefault="00FA351E" w:rsidP="00E44F9E">
      <w:pPr>
        <w:pStyle w:val="ListParagraph"/>
        <w:numPr>
          <w:ilvl w:val="1"/>
          <w:numId w:val="3"/>
        </w:numPr>
      </w:pPr>
      <w:r w:rsidRPr="00E34E46">
        <w:rPr>
          <w:b/>
        </w:rPr>
        <w:t>Élargir l’équité</w:t>
      </w:r>
      <w:r w:rsidRPr="00E34E46">
        <w:t xml:space="preserve"> pour les personnes en situation de handicap en intégrant les principes de conception universelle dans les processus d’approvisionnement. La certification et les accréditations peuvent ne pas être accessibles à toutes les personnes en situation de handicap. S’assurer que l’accès aux mécanismes de résolution de conflits et l’accès aux tribunaux sont accessibles et inclusifs.</w:t>
      </w:r>
    </w:p>
    <w:p w14:paraId="0015CAD7" w14:textId="2C639CC0" w:rsidR="003319A8" w:rsidRPr="00E34E46" w:rsidRDefault="0003308D" w:rsidP="00E44F9E">
      <w:pPr>
        <w:pStyle w:val="ListParagraph"/>
        <w:numPr>
          <w:ilvl w:val="1"/>
          <w:numId w:val="3"/>
        </w:numPr>
      </w:pPr>
      <w:r w:rsidRPr="00E34E46">
        <w:rPr>
          <w:b/>
        </w:rPr>
        <w:t>Collaboration et création de possibilités :</w:t>
      </w:r>
      <w:r w:rsidRPr="00E34E46">
        <w:t xml:space="preserve"> Aller rencontrer différentes communautés et promouvoir leur croissance et les </w:t>
      </w:r>
      <w:r w:rsidRPr="00E34E46">
        <w:lastRenderedPageBreak/>
        <w:t>possibilités qui s’offrent aux personnes en dehors des centres urbains, embaucher des personnes en situation de handicap en tant que professionnels des achats, et cibler des bassins de talents. Joindre les organisations de personnes en situation de handicap et les entreprises sociales. Établir des relations là où elles sont nécessaires et investir du temps et des ressources afin d’assurer une collaboration significative et de réduire l’inclusion de façade. Construire des communautés de pratique et d’échange de connaissances dans les chaînes d’approvisionnement et avec les fournisseurs potentiels.</w:t>
      </w:r>
    </w:p>
    <w:p w14:paraId="2D03FB61" w14:textId="61048CF6" w:rsidR="00714468" w:rsidRPr="00E34E46" w:rsidRDefault="0024680C" w:rsidP="00E44F9E">
      <w:pPr>
        <w:pStyle w:val="ListParagraph"/>
        <w:numPr>
          <w:ilvl w:val="1"/>
          <w:numId w:val="3"/>
        </w:numPr>
      </w:pPr>
      <w:r w:rsidRPr="00E34E46">
        <w:rPr>
          <w:b/>
        </w:rPr>
        <w:t xml:space="preserve">Démonstration de responsabilité : </w:t>
      </w:r>
      <w:r w:rsidRPr="00E34E46">
        <w:t xml:space="preserve">Suivre et partager les résultats des études de cas (réussites et difficultés), être responsable vis-à-vis des communautés locales et des systèmes de valeurs, créer des listes de fournisseurs internes ou préapprouvés, solliciter de la rétroaction en vue de prendre des mesures appropriées, rendre les décideurs responsables de l’accessibilité, publier des rapports annuels, produire des rapports à l’échelle du secteur sur la préparation du marché, mettre en lumière des innovations, et exploiter des systèmes </w:t>
      </w:r>
      <w:r w:rsidRPr="00E34E46">
        <w:lastRenderedPageBreak/>
        <w:t>technologiques accessibles. Tirer profit des nouveaux outils numériques pour recueillir les données manquantes et démontrer ainsi les répercussions, en plus de créer des modèles quantitatifs robustes pour la surveillance et la prise de décision.</w:t>
      </w:r>
    </w:p>
    <w:p w14:paraId="6DB660B1" w14:textId="31EDEA86" w:rsidR="00D3784A" w:rsidRPr="00E34E46" w:rsidRDefault="009D27D8" w:rsidP="00E56C38">
      <w:pPr>
        <w:rPr>
          <w:rFonts w:cstheme="majorBidi"/>
          <w:color w:val="0F4761" w:themeColor="accent1" w:themeShade="BF"/>
          <w:sz w:val="32"/>
          <w:szCs w:val="32"/>
        </w:rPr>
      </w:pPr>
      <w:r w:rsidRPr="00E34E46">
        <w:t xml:space="preserve">Au Canada, il n’y a pas de réseau de recherche solide sur l’approvisionnement accessible. Deux autres rapports liés à l’approvisionnement accessible ont émergé pendant ce projet, soit ceux de la Neil Squire Society et de l’Inclusive </w:t>
      </w:r>
      <w:proofErr w:type="spellStart"/>
      <w:r w:rsidRPr="00E34E46">
        <w:t>Workplaces</w:t>
      </w:r>
      <w:proofErr w:type="spellEnd"/>
      <w:r w:rsidRPr="00E34E46">
        <w:t xml:space="preserve"> </w:t>
      </w:r>
      <w:proofErr w:type="spellStart"/>
      <w:r w:rsidRPr="00E34E46">
        <w:t>Supply</w:t>
      </w:r>
      <w:proofErr w:type="spellEnd"/>
      <w:r w:rsidRPr="00E34E46">
        <w:t xml:space="preserve"> Chain Council. La priorité a été légèrement différente. Toutefois, ce rapport marque un point déterminant dans le temps, où les sociétés et les organisations subissent les répercussions de l’industrie 4.0 (la quatrième révolution industrielle). Si la résilience des chaînes d’approvisionnement est reliée à l’approvisionnement accessible, les personnes en situation de handicap pourraient alors tirer davantage profit des changements technologiques et sociétaux élargis. Le modèle ci-dessus constitue un exemple et une articulation réalisés tôt dans le processus; nous espérons que des chercheurs valideront et affineront un jour ce modèle. Par conséquent, il faut absolument développer davantage de données et d’études de cas pour que l’incidence puisse être démontrée et </w:t>
      </w:r>
      <w:r w:rsidRPr="00E34E46">
        <w:lastRenderedPageBreak/>
        <w:t>pour que de telles analyses soient entreprises aux fins de surveillance ultérieure et de résilience des chaînes d’approvisionnement.</w:t>
      </w:r>
      <w:r w:rsidR="00D3784A" w:rsidRPr="00E34E46">
        <w:br w:type="page"/>
      </w:r>
    </w:p>
    <w:p w14:paraId="0DFB392F" w14:textId="4C3D7B77" w:rsidR="00FE7295" w:rsidRPr="00E34E46" w:rsidRDefault="004770A5" w:rsidP="00B56537">
      <w:pPr>
        <w:pStyle w:val="Heading2"/>
      </w:pPr>
      <w:bookmarkStart w:id="174" w:name="_Toc224836481"/>
      <w:bookmarkStart w:id="175" w:name="_Toc224836709"/>
      <w:r w:rsidRPr="00E34E46">
        <w:lastRenderedPageBreak/>
        <w:t>Chapitre 7 : Conclusion</w:t>
      </w:r>
      <w:bookmarkEnd w:id="154"/>
      <w:bookmarkEnd w:id="174"/>
      <w:bookmarkEnd w:id="175"/>
    </w:p>
    <w:p w14:paraId="79CD745F" w14:textId="5DB769F7" w:rsidR="00FE7295" w:rsidRPr="00E34E46" w:rsidRDefault="00FE7295" w:rsidP="00B56537">
      <w:r w:rsidRPr="00E34E46">
        <w:t>Dans les premières étapes, alors que le projet débutait et que la COVID-19 battait son plein, cette réalité a eu un effet considérable sur le processus de recherche. Nous avons décidé d’adopter une approche de conception collaborative avec les intervenants pertinents de la fonction publique fédérale et du secteur privé.</w:t>
      </w:r>
    </w:p>
    <w:p w14:paraId="59F65878" w14:textId="60690677" w:rsidR="00FE7295" w:rsidRPr="00E34E46" w:rsidRDefault="00FE7295" w:rsidP="00B56537">
      <w:r w:rsidRPr="00E34E46">
        <w:t>Une telle approche nous permet de formuler des recommandations concernant les modèles d’approvisionnement accessible et inclusif et les modèles de chaînes d’approvisionnement pour la fonction publique fédérale et les autres secteurs sous réglementation fédérale, car le Canada dispose d’une expertise et d’un concept insuffisants en matière d’approvisionnement accessible. Pendant cette étude, nous avons observé des changements drastiques et une adoption accrue de l’approvisionnement accessible dans les dernières étapes du projet de deux ans et demi.</w:t>
      </w:r>
    </w:p>
    <w:p w14:paraId="36F7F775" w14:textId="3829E5FD" w:rsidR="00FE7295" w:rsidRPr="00E34E46" w:rsidRDefault="00FE7295" w:rsidP="00B56537">
      <w:r w:rsidRPr="00E34E46">
        <w:t xml:space="preserve">Nous avons donc entrepris de comprendre ce que les données probantes révèlent concernant l’approvisionnement accessible et inclusif. Tout d’abord, une définition et un cadre clairs pour l’approvisionnement </w:t>
      </w:r>
      <w:r w:rsidRPr="00E34E46">
        <w:lastRenderedPageBreak/>
        <w:t>accessible sont nécessaires aux organisations, tant sur le plan pédagogique que sur le plan opérationnel. Précisons que la proposition d’origine utilisait les termes « approvisionnement accessible » et « approvisionnement inclusif » de manière interreliée et interchangeable. Toutefois, comme nous le constatons dans le travail de la TRAES et dans l’analyse documentaire, l’approvisionnement inclusif est davantage associé à l’approvisionnement social et aux initiatives de diversité, d’équité et d’inclusion (DEI) dans la chaîne d’approvisionnement (Riding, 2018). Alors que l’approvisionnement inclusif est axé sur les groupes d’équité, notamment le genre, les personnes 2SLGBTQ+ et les personnes racialisées, les personnes en situation de handicap n’ont pas été prises en compte dans ces initiatives, en partie parce que l’accessibilité va au-delà de la simple politique. Par conséquent, nous avons choisi d’utiliser « approvisionnement accessible » de manière distincte, car ce terme désigne l’accessibilité dans le processus, l’accessibilité du processus ainsi qu’un résultat accessible (UNDIS, 2021).</w:t>
      </w:r>
    </w:p>
    <w:p w14:paraId="61DD0AC2" w14:textId="3A68DDD2" w:rsidR="00FE7295" w:rsidRPr="00E34E46" w:rsidRDefault="00FE7295" w:rsidP="00B56537">
      <w:pPr>
        <w:pStyle w:val="Heading3"/>
      </w:pPr>
      <w:bookmarkStart w:id="176" w:name="_Toc168722584"/>
      <w:bookmarkStart w:id="177" w:name="_Toc210828563"/>
      <w:r w:rsidRPr="00E34E46">
        <w:lastRenderedPageBreak/>
        <w:t>Un cadre fondé sur des données probantes de la conception universelle pour l’approvisionnement accessible</w:t>
      </w:r>
      <w:bookmarkEnd w:id="176"/>
      <w:bookmarkEnd w:id="177"/>
    </w:p>
    <w:p w14:paraId="77F2AAB6" w14:textId="6412A2FE" w:rsidR="00FE7295" w:rsidRPr="00E34E46" w:rsidRDefault="00FE7295" w:rsidP="00B56537">
      <w:r w:rsidRPr="00E34E46">
        <w:t>Pour élaborer un cadre de conception universelle fondé sur des données probantes pour les normes d’approvisionnement accessible au Canada, nous avons pris en compte la littérature universitaire, les territoires de compétence à l’international (analyses environnementales) ainsi que les entretiens entre les experts, les décideurs et les professionnels de l’approvisionnement. Enfin, le cadre a été conçu en collaboration avec des personnes ayant une expérience vécue dans l’élaboration et la validation des recommandations proposées selon une structure thématique.</w:t>
      </w:r>
    </w:p>
    <w:p w14:paraId="338BFA16" w14:textId="3A03E515" w:rsidR="00FE7295" w:rsidRPr="00E34E46" w:rsidRDefault="00FE7295" w:rsidP="00B56537">
      <w:pPr>
        <w:pStyle w:val="Heading3"/>
      </w:pPr>
      <w:bookmarkStart w:id="178" w:name="_Toc168722585"/>
      <w:bookmarkStart w:id="179" w:name="_Toc210828564"/>
      <w:r w:rsidRPr="00E34E46">
        <w:lastRenderedPageBreak/>
        <w:t>Co-conception et intégration de l’approvisionnement en tant qu’agent de changement</w:t>
      </w:r>
      <w:bookmarkEnd w:id="178"/>
      <w:bookmarkEnd w:id="179"/>
    </w:p>
    <w:p w14:paraId="1C05DC1C" w14:textId="467609DA" w:rsidR="00FE7295" w:rsidRPr="00E34E46" w:rsidRDefault="00FE7295" w:rsidP="00B56537">
      <w:r w:rsidRPr="00E34E46">
        <w:t>Nous nous sommes appuyés sur une approche intensive en recherche et fondée sur les connaissances, qui repose sur les quatre piliers présentés dans l’introduction</w:t>
      </w:r>
      <w:r w:rsidR="00E60487" w:rsidRPr="00E34E46">
        <w:t> :</w:t>
      </w:r>
    </w:p>
    <w:p w14:paraId="27D9E7E7" w14:textId="3964D666" w:rsidR="00FE7295" w:rsidRPr="00E34E46" w:rsidRDefault="00FE7295" w:rsidP="00B56537">
      <w:r w:rsidRPr="00E34E46">
        <w:rPr>
          <w:b/>
        </w:rPr>
        <w:t>Génération de connaissances :</w:t>
      </w:r>
      <w:r w:rsidRPr="00E34E46">
        <w:t xml:space="preserve"> des analyses environnementales ont permis de déterminer les normes, les modèles nationaux et internationaux, ainsi que l’état général du paysage. Tous les intervenants ont souligné l’importance du leadership des gouvernements et des législateurs à mesure que de nouvelles lois entrent en vigueur. Ajoutons que tous les niveaux d’entité ou de ministère du secteur public apprennent des choses, les communiquent et travaillent selon une approche ascendante. Si des orientations, des formations, des ressources et des termes clairs ne sont pas ajoutés dès le départ, aucune organisation et aucun ministère du secteur public ne pourra mettre en œuvre les changements censés améliorer la vie des personnes en situation de handicap au Canada. Les conséquences sont </w:t>
      </w:r>
      <w:r w:rsidRPr="00E34E46">
        <w:lastRenderedPageBreak/>
        <w:t>soutenues par les organisations et les personnes en situation de handicap, qui risquent de perdre des possibilités d’emploi et de se retirer des possibilités potentielles liées aux processus d’approvisionnement.</w:t>
      </w:r>
    </w:p>
    <w:p w14:paraId="6DA25890" w14:textId="78FF3512" w:rsidR="00FE7295" w:rsidRPr="00E34E46" w:rsidRDefault="00FE7295" w:rsidP="00B56537">
      <w:r w:rsidRPr="00E34E46">
        <w:t xml:space="preserve">Les </w:t>
      </w:r>
      <w:r w:rsidRPr="00E34E46">
        <w:rPr>
          <w:b/>
        </w:rPr>
        <w:t>approches de traduction des connaissances et de co-conception</w:t>
      </w:r>
      <w:r w:rsidRPr="00E34E46">
        <w:t xml:space="preserve">, basées sur les rôles, les secteurs d’activité et les dimensions du cycle de vie de l’approvisionnement, indiquent qu’une analyse coûts-avantages ciblant l’ensemble du paysage de l’accessibilité au Canada est nécessaire pour que les décideurs et les agents de changement puissent créer une analyse de rentabilisation, influencer les actionnaires et </w:t>
      </w:r>
      <w:proofErr w:type="spellStart"/>
      <w:r w:rsidRPr="00E34E46">
        <w:t>co-créer</w:t>
      </w:r>
      <w:proofErr w:type="spellEnd"/>
      <w:r w:rsidRPr="00E34E46">
        <w:t xml:space="preserve"> de nouvelles formes de valeur.</w:t>
      </w:r>
    </w:p>
    <w:p w14:paraId="082C8FBE" w14:textId="77777777" w:rsidR="00FE7295" w:rsidRPr="00E34E46" w:rsidRDefault="00FE7295" w:rsidP="00B56537">
      <w:r w:rsidRPr="00E34E46">
        <w:rPr>
          <w:b/>
        </w:rPr>
        <w:t>Dévoilement des connaissances :</w:t>
      </w:r>
      <w:r w:rsidRPr="00E34E46">
        <w:t xml:space="preserve"> Des études de cas et des projets pilotes de mise en œuvre ont été élaborés pour démontrer les mécanismes et la nature de chaque projet d’approvisionnement. Ils démontrent également les grands défis que doivent relever bien des organisations et des professionnels afin d’aborder l’accessibilité, y compris les exigences en la matière et l’équilibre entre les aspirations et les réalités quotidiennes et les limitations. Il peut s’agir de la préparation de l’industrie.</w:t>
      </w:r>
    </w:p>
    <w:p w14:paraId="30931037" w14:textId="6C81D79A" w:rsidR="00FE7295" w:rsidRPr="00E34E46" w:rsidRDefault="00FE7295" w:rsidP="00B56537">
      <w:r w:rsidRPr="00E34E46">
        <w:lastRenderedPageBreak/>
        <w:t xml:space="preserve">Une </w:t>
      </w:r>
      <w:r w:rsidRPr="00E34E46">
        <w:rPr>
          <w:b/>
        </w:rPr>
        <w:t>synthèse des connaissances</w:t>
      </w:r>
      <w:r w:rsidRPr="00E34E46">
        <w:t xml:space="preserve"> ou un projet de normes recommandées potentielles figure au chapitre 4 du présent rapport. Y sont synthétisés les résultats actuels et les priorités ciblées lors de la conception conjointe, de la mise en œuvre, des études de cas pilotes, d’une enquête industrielle et des entretiens réalisés auprès des experts.</w:t>
      </w:r>
    </w:p>
    <w:p w14:paraId="14E1DD8F" w14:textId="21219E5D" w:rsidR="00FE7295" w:rsidRPr="00E34E46" w:rsidRDefault="00FE7295" w:rsidP="00B56537">
      <w:pPr>
        <w:pStyle w:val="Heading3"/>
      </w:pPr>
      <w:bookmarkStart w:id="180" w:name="_Toc168722586"/>
      <w:bookmarkStart w:id="181" w:name="_Toc210828565"/>
      <w:r w:rsidRPr="00E34E46">
        <w:t>Dernières remarques</w:t>
      </w:r>
      <w:bookmarkEnd w:id="180"/>
      <w:r w:rsidRPr="00E34E46">
        <w:t xml:space="preserve"> et recherches futures</w:t>
      </w:r>
      <w:bookmarkEnd w:id="181"/>
    </w:p>
    <w:p w14:paraId="37FD66AE" w14:textId="4C3912E6" w:rsidR="00FE7295" w:rsidRPr="00E34E46" w:rsidRDefault="00FE7295" w:rsidP="00B56537">
      <w:r w:rsidRPr="00E34E46">
        <w:t xml:space="preserve">Dans le cadre du projet, nous avons cherché à recueillir et à créer des données probantes sur l’approvisionnement accessible au Canada. Un travail considérable est d’ailleurs nécessaire pour produire un modèle de chaîne d’approvisionnement qui repose sur la conception universelle ou pour améliorer l’accessibilité dans l’approvisionnement. Il est d’une importance capitale de traiter l’équité et la flexibilité, et c’est également le cas pour l’autonomisation et la mise en œuvre des politiques et des processus axés sur la création d’avantages pour la communauté. De plus, les modèles et les processus d’approvisionnement sont aussi diversifiés que le sont les organisations. Nous constatons également que cette diversité s’accroît et s’adapte en fonction du degré de compréhension et d’engagement d’une </w:t>
      </w:r>
      <w:r w:rsidRPr="00E34E46">
        <w:lastRenderedPageBreak/>
        <w:t>organisation donnée envers l’accessibilité et l’inclusion, non seulement pour les personnes en situation de handicap, mais aussi pour les membres des communautés que sert l’organisation. Comme l’a mentionné un professionnel de l’approvisionnement, il s’engage auprès de ses communautés locales pour aider à façonner ses processus et ses politiques et ainsi nouer des liens avec les communautés, les fournisseurs et des collègues. Les gouvernements et le secteur public peuvent créer des études de cas sur l’approvisionnement accessible. Aussi, une analyse coûts-avantages nationale de l’approvisionnement pourrait contribuer davantage à « vendre » le principe à un plus grand nombre d’intervenants, d’organisations et d’entités. Par ailleurs, les études de cas démontrant les coûts de la création d’un produit, d’un bien ou d’un service accessible peuvent aider les défenseurs solitaires de l’accessibilité à rassembler des preuves et des données plus solides.</w:t>
      </w:r>
    </w:p>
    <w:p w14:paraId="1C23F736" w14:textId="588DEE06" w:rsidR="00D16F69" w:rsidRPr="00E34E46" w:rsidRDefault="00DD4CD3" w:rsidP="00B56537">
      <w:r w:rsidRPr="00E34E46">
        <w:t xml:space="preserve">Il faut également souligner que les organisations et les entités doivent avoir un niveau de maturité de modéré à </w:t>
      </w:r>
      <w:proofErr w:type="spellStart"/>
      <w:r w:rsidRPr="00E34E46">
        <w:t>avancé</w:t>
      </w:r>
      <w:proofErr w:type="spellEnd"/>
      <w:r w:rsidRPr="00E34E46">
        <w:t xml:space="preserve"> dans leur parcours vers l’accessibilité. Il est donc essentiel de réitérer que les normes émergentes en matière d’emploi inclusif et la planification pluriannuelle de l’accessibilité </w:t>
      </w:r>
      <w:r w:rsidRPr="00E34E46">
        <w:lastRenderedPageBreak/>
        <w:t xml:space="preserve">visant à repérer, à prévenir et à éliminer les obstacles doivent être respectées et maintenues. Vu la complexité du paysage de l’approvisionnement, une attention accrue doit être portée à différents secteurs, comme celui de la construction, le domaine militaire ou celui de l’approvisionnement à haute sécurité. Au moment de la publication, nous avons également constaté l’attention portée sur l’approvisionnement relatif à l’appli </w:t>
      </w:r>
      <w:proofErr w:type="spellStart"/>
      <w:r w:rsidRPr="00E34E46">
        <w:t>ArriveCan</w:t>
      </w:r>
      <w:proofErr w:type="spellEnd"/>
      <w:r w:rsidRPr="00E34E46">
        <w:t xml:space="preserve">. Nous voudrions proposer que cette étude de cas soit également utilisée pour l’approvisionnement accessible, car il peut y avoir des coûts attribués à l’accessibilité qui sont associés au développement et au déploiement de l’application </w:t>
      </w:r>
      <w:proofErr w:type="spellStart"/>
      <w:r w:rsidRPr="00E34E46">
        <w:t>ArriveC</w:t>
      </w:r>
      <w:r w:rsidR="00E60487" w:rsidRPr="00E34E46">
        <w:t>AN</w:t>
      </w:r>
      <w:proofErr w:type="spellEnd"/>
      <w:r w:rsidRPr="00E34E46">
        <w:t xml:space="preserve"> au Canada.</w:t>
      </w:r>
    </w:p>
    <w:p w14:paraId="59CCD31E" w14:textId="57F142C1" w:rsidR="00D16F69" w:rsidRPr="00E34E46" w:rsidRDefault="00A2013B" w:rsidP="00B56537">
      <w:r w:rsidRPr="00E34E46">
        <w:t xml:space="preserve">Nous encourageons également les municipalités et les établissements d’enseignement postsecondaire à mettre en lumière leurs réussites en matière d’approvisionnement accessible, car un riche savoir-faire émerge dans ces domaines, comme l’accessibilité des aires de jeux, des bibliothèques, des installations récréatives et des événements publics. Enfin, la réalisation d’une étude de référence comparable à l’étude de 2018 de Riding serait d’une valeur inestimable dans le domaine de l’approvisionnement accessible. Enfin, il convient de souligner que les </w:t>
      </w:r>
      <w:r w:rsidRPr="00E34E46">
        <w:lastRenderedPageBreak/>
        <w:t>personnes en situation de handicap ont également besoin de davantage de possibilités et de soutien, comme l’accès au capital-risque, à la réussite scolaire et à de l’aide pour la création d’entreprises. Elles pourront ainsi mieux se préparer à déposer des soumissions ou à répondre aux appels d’offres des secteurs public et privé. Nous trouvons également encourageant de constater que ce projet a permis de réunir des professionnels de l’accessibilité et des équipes responsables de l’approvisionnement de certains secteurs publics. Les occasions d’enrichissement mutuel de cette nature et entre professionnels sont fortement recommandées, car nous savons que le temps et la formation exercent une pression sur les professionnels. Dans le cadre de ce projet, nous souhaitons également nous assurer que les affaires relatives aux droits de la personne et les tribunaux mettent en évidence des études de cas qui témoignent de l’importance de l’approvisionnement et d’une surveillance permanente, qui doivent faire l’objet d’un suivi dans les rapports annuels de l’</w:t>
      </w:r>
      <w:proofErr w:type="spellStart"/>
      <w:r w:rsidRPr="00E34E46">
        <w:t>ombud</w:t>
      </w:r>
      <w:proofErr w:type="spellEnd"/>
      <w:r w:rsidRPr="00E34E46">
        <w:t xml:space="preserve">. Par-dessus tout, ce qui ressort, c’est qu’on s’attend à un leadership clair du plus haut niveau du gouvernement dans ce domaine, et l’importance de tirer des leçons et d’échanger des connaissances a été fréquemment réitérée. Les prochaines études devraient examiner davantage les différents acteurs liés aux </w:t>
      </w:r>
      <w:r w:rsidRPr="00E34E46">
        <w:lastRenderedPageBreak/>
        <w:t>processus d’approvisionnement et expliquer comment ils sont mis en œuvre dans les modèles. On observe une croissance continue des outils et des instruments de l’IA, de la chaîne de blocs et de l’Internet des objets. De plus, ces ressources ont une incidence qui constitue une autre voie prometteuse pour les recherches à venir. Pour les travaux futurs, des données seront nécessaires, et les recherches concernant les répercussions sur l’accessibilité des perturbations dans les chaînes d’approvisionnement ne pourront être effectuées que si des données sont disponibles aux fins d’analyse, qu’elles soient internes ou mondiales.</w:t>
      </w:r>
    </w:p>
    <w:p w14:paraId="4BBCE506" w14:textId="5D9AD980" w:rsidR="00DD4CD3" w:rsidRPr="00E34E46" w:rsidRDefault="002B3CBD" w:rsidP="00B56537">
      <w:r w:rsidRPr="00E34E46">
        <w:t xml:space="preserve">Nous apprécions l’ouverture d’esprit et le degré d’engagement des professionnels et des membres de la communauté. Pour les personnes en situation de handicap, la relation entre l’approvisionnement et l’accessibilité n’est pas toujours évidente. Cependant, des preuves empiriques suggèrent que des processus d’approvisionnement inaccessibles peuvent entraîner des pertes d’emploi et nuire au maintien en poste des employés en situation de handicap. Ces éléments méritent d’être pris en considération, comme il est mentionné précédemment dans ce rapport. En effet, les personnes en situation de handicap quittent les secteurs sous réglementation fédérale plus </w:t>
      </w:r>
      <w:r w:rsidRPr="00E34E46">
        <w:lastRenderedPageBreak/>
        <w:t xml:space="preserve">rapidement qu’elles n’y entrent (EDSC, 2023). Nous encourageons également les organisations et les entités à surveiller de près l’inclusion des personnes en situation de handicap et à déterminer s’il existe un lien avec les décisions des organisations ou des ministères quant à l’approvisionnement. Des progrès importants ont d’ailleurs été réalisés tant en matière d’approvisionnement durable et écologique, et d’approvisionnement social, que de cadres de gouvernance environnementale, sociale et économique (ESG). Il existe aussi des préoccupations croissantes concernant l’écoblanchiment (Santos, </w:t>
      </w:r>
      <w:proofErr w:type="spellStart"/>
      <w:r w:rsidRPr="00E34E46">
        <w:t>Coehlo</w:t>
      </w:r>
      <w:proofErr w:type="spellEnd"/>
      <w:r w:rsidRPr="00E34E46">
        <w:t xml:space="preserve"> et Marques, 2023; Blome et coll., 2017; Mahoney et coll., 2013), et il est essentiel de souligner l’intentionnalité des organisations et des entités en tant qu’engagements envers l’un des plus grands groupes de recherche sur l’équité au Canada et dans le monde. Cela ferait en sorte que les signaux envoyés par les organisations ne deviennent pas des engagements performatifs en matière d’accessibilité pour les générations futures. Nos marchés évoluent en tenant davantage compte de la diversité des capacités humaines, et de la manière dont elles sont prises en compte dans l’acquisition et la dépense de services, de biens et d’infrastructures au Canada et dans le monde.</w:t>
      </w:r>
    </w:p>
    <w:p w14:paraId="4A4979EA" w14:textId="77777777" w:rsidR="006826FE" w:rsidRPr="00E34E46" w:rsidRDefault="006826FE" w:rsidP="00B56537">
      <w:r w:rsidRPr="00E34E46">
        <w:lastRenderedPageBreak/>
        <w:br w:type="page"/>
      </w:r>
    </w:p>
    <w:p w14:paraId="559B180B" w14:textId="71317506" w:rsidR="00D87C1A" w:rsidRPr="00E34E46" w:rsidRDefault="00D87C1A" w:rsidP="00B56537">
      <w:pPr>
        <w:pStyle w:val="Heading2"/>
      </w:pPr>
      <w:bookmarkStart w:id="182" w:name="_Toc168722587"/>
      <w:bookmarkStart w:id="183" w:name="_Toc171102986"/>
      <w:bookmarkStart w:id="184" w:name="_Toc168722589"/>
      <w:bookmarkStart w:id="185" w:name="_Toc224836482"/>
      <w:bookmarkStart w:id="186" w:name="_Toc224836710"/>
      <w:r w:rsidRPr="00E34E46">
        <w:lastRenderedPageBreak/>
        <w:t>Terminologie clé :</w:t>
      </w:r>
      <w:bookmarkEnd w:id="182"/>
      <w:bookmarkEnd w:id="183"/>
      <w:bookmarkEnd w:id="185"/>
      <w:bookmarkEnd w:id="186"/>
    </w:p>
    <w:p w14:paraId="5DABAE2D" w14:textId="11635301" w:rsidR="00E56C38" w:rsidRPr="00E34E46" w:rsidRDefault="00E56C38" w:rsidP="00A76403">
      <w:pPr>
        <w:pStyle w:val="APABibliography"/>
      </w:pPr>
      <w:r w:rsidRPr="00E34E46">
        <w:rPr>
          <w:b/>
        </w:rPr>
        <w:t>Accessibilité :</w:t>
      </w:r>
      <w:r w:rsidRPr="00E34E46">
        <w:t xml:space="preserve"> Assurer aux personnes en situation de handicap, par souci d’égalité avec les autres, un accès à l’environnement physique, aux transports, à l’information et à la communication, y compris aux systèmes et aux technologies de l’information et de la communication, et aux autres équipements et services ouverts ou fournis au public, tant dans les zones urbaines que rurales (DAESNU, s. d.).</w:t>
      </w:r>
    </w:p>
    <w:p w14:paraId="1E45D42F" w14:textId="2A740F87" w:rsidR="00E56C38" w:rsidRPr="00E34E46" w:rsidRDefault="00E56C38" w:rsidP="00A76403">
      <w:pPr>
        <w:pStyle w:val="APABibliography"/>
      </w:pPr>
      <w:r w:rsidRPr="00E34E46">
        <w:rPr>
          <w:b/>
        </w:rPr>
        <w:t>Accessible :</w:t>
      </w:r>
      <w:r w:rsidRPr="00E34E46">
        <w:t xml:space="preserve"> Produits, systèmes, services, environnements et installations pouvant être utilisés par des personnes présentant le plus large éventail de besoins, de caractéristiques et de capacités possible (ISO/IEC, 2014). </w:t>
      </w:r>
    </w:p>
    <w:p w14:paraId="77E9CEC3" w14:textId="4184706E" w:rsidR="00E56C38" w:rsidRPr="00E34E46" w:rsidRDefault="00E56C38" w:rsidP="007312B9">
      <w:pPr>
        <w:pStyle w:val="APABibliography"/>
      </w:pPr>
      <w:r w:rsidRPr="00E34E46">
        <w:rPr>
          <w:b/>
        </w:rPr>
        <w:t xml:space="preserve">ACR : </w:t>
      </w:r>
      <w:r w:rsidRPr="00E34E46">
        <w:t xml:space="preserve">Un rapport de conformité en matière d’accessibilité (ACR) » est un document que le fournisseur doit remplir au cours de la procédure de demande de propositions (DP) pour chaque élément de technologie de l’information et des communications (TIC). Ces rapports sont créés à l’aide d’un modèle volontaire d’accessibilité des produits et sont utilisés pour faciliter l’évaluation de la conformité du produit avec les normes </w:t>
      </w:r>
      <w:r w:rsidRPr="00E34E46">
        <w:lastRenderedPageBreak/>
        <w:t xml:space="preserve">d’accessibilité définies par l’organisation. </w:t>
      </w:r>
      <w:r w:rsidRPr="00E34E46">
        <w:rPr>
          <w:color w:val="000000"/>
        </w:rPr>
        <w:t>(</w:t>
      </w:r>
      <w:r w:rsidRPr="00E34E46">
        <w:t xml:space="preserve">Information </w:t>
      </w:r>
      <w:proofErr w:type="spellStart"/>
      <w:r w:rsidRPr="00E34E46">
        <w:t>Technology</w:t>
      </w:r>
      <w:proofErr w:type="spellEnd"/>
      <w:r w:rsidRPr="00E34E46">
        <w:t xml:space="preserve"> </w:t>
      </w:r>
      <w:proofErr w:type="spellStart"/>
      <w:r w:rsidRPr="00E34E46">
        <w:t>Industry</w:t>
      </w:r>
      <w:proofErr w:type="spellEnd"/>
      <w:r w:rsidRPr="00E34E46">
        <w:t xml:space="preserve"> Council, s. d.).</w:t>
      </w:r>
    </w:p>
    <w:p w14:paraId="5FADF7D0" w14:textId="10DA0341" w:rsidR="00E56C38" w:rsidRPr="00E34E46" w:rsidRDefault="00E56C38" w:rsidP="00A76403">
      <w:pPr>
        <w:pStyle w:val="APABibliography"/>
      </w:pPr>
      <w:r w:rsidRPr="00E34E46">
        <w:rPr>
          <w:b/>
        </w:rPr>
        <w:t>Analyse coûts-avantages :</w:t>
      </w:r>
      <w:r w:rsidRPr="00E34E46">
        <w:t xml:space="preserve"> à la fois outil et cadre décisionnel, elle met en correspondance les coûts, les avantages et le rendement de l’investissement d’une intervention ou d’un investissement donné (gouvernement du Canada, 2007). </w:t>
      </w:r>
    </w:p>
    <w:p w14:paraId="3008D2D6" w14:textId="77777777" w:rsidR="00E56C38" w:rsidRPr="00E34E46" w:rsidRDefault="00E56C38" w:rsidP="00A76403">
      <w:pPr>
        <w:pStyle w:val="APABibliography"/>
      </w:pPr>
      <w:r w:rsidRPr="00E34E46">
        <w:rPr>
          <w:b/>
        </w:rPr>
        <w:t>Appel d’offres :</w:t>
      </w:r>
      <w:r w:rsidRPr="00E34E46">
        <w:t xml:space="preserve"> Offre écrite pour fournir des biens, exécuter des travaux de construction ou fournir des services selon des conditions données, généralement à un prix indiqué, et qui peut être acceptée (3.1) et transformée en un contrat obligatoire (ISO, 2020a).</w:t>
      </w:r>
    </w:p>
    <w:p w14:paraId="5D8D2146" w14:textId="16BB9F8B" w:rsidR="00E56C38" w:rsidRPr="00E34E46" w:rsidRDefault="00E56C38" w:rsidP="00BB51E4">
      <w:pPr>
        <w:pStyle w:val="APABibliography"/>
        <w:rPr>
          <w:rFonts w:cs="Times New Roman"/>
        </w:rPr>
      </w:pPr>
      <w:r w:rsidRPr="00E34E46">
        <w:rPr>
          <w:b/>
        </w:rPr>
        <w:t>Approvisionnement :</w:t>
      </w:r>
      <w:r w:rsidRPr="00E34E46">
        <w:t xml:space="preserve"> Le processus systématique d’achat et de vente de biens et de services qui requiert des phases définies et des activités associées, dont la planification, la pré-attribution, l’attribution, la gestion et le suivi de contrats, l’évaluation </w:t>
      </w:r>
      <w:proofErr w:type="spellStart"/>
      <w:r w:rsidRPr="00E34E46">
        <w:t>postcontractuelle</w:t>
      </w:r>
      <w:proofErr w:type="spellEnd"/>
      <w:r w:rsidRPr="00E34E46">
        <w:t xml:space="preserve"> et la gestion de relations avec des fournisseurs (gouvernement de la Colombie-Britannique, 2018).</w:t>
      </w:r>
    </w:p>
    <w:p w14:paraId="0A4269DA" w14:textId="36E4638D" w:rsidR="00E56C38" w:rsidRPr="00E34E46" w:rsidRDefault="00E56C38" w:rsidP="00A76403">
      <w:pPr>
        <w:pStyle w:val="APABibliography"/>
      </w:pPr>
      <w:r w:rsidRPr="00E34E46">
        <w:rPr>
          <w:b/>
        </w:rPr>
        <w:lastRenderedPageBreak/>
        <w:t>Biens :</w:t>
      </w:r>
      <w:r w:rsidRPr="00E34E46">
        <w:t xml:space="preserve"> Articles ou matériaux qui, après la délivrance d’un bon de commande, sont en cours de fabrication, de traitement, de manipulation ou de transport dans la chaîne d’approvisionnement en vue d’une utilisation ou d’une consommation par l’organisation (ISO, 2007). </w:t>
      </w:r>
    </w:p>
    <w:p w14:paraId="30E3877E" w14:textId="77777777" w:rsidR="00E56C38" w:rsidRPr="00E34E46" w:rsidRDefault="00E56C38" w:rsidP="00A76403">
      <w:pPr>
        <w:pStyle w:val="APABibliography"/>
      </w:pPr>
      <w:r w:rsidRPr="00E34E46">
        <w:rPr>
          <w:b/>
        </w:rPr>
        <w:t>Chaîne d’approvisionnement :</w:t>
      </w:r>
      <w:r w:rsidRPr="00E34E46">
        <w:t xml:space="preserve"> Suite d’activités ou d’intervenants qui fournissent des biens ou des services à l’organisation (ISO, 2010).</w:t>
      </w:r>
    </w:p>
    <w:p w14:paraId="23D1C890" w14:textId="77777777" w:rsidR="00E56C38" w:rsidRPr="00E34E46" w:rsidRDefault="00E56C38" w:rsidP="00A76403">
      <w:pPr>
        <w:pStyle w:val="APABibliography"/>
      </w:pPr>
      <w:r w:rsidRPr="00E34E46">
        <w:rPr>
          <w:b/>
        </w:rPr>
        <w:t>Conception universelle :</w:t>
      </w:r>
      <w:r w:rsidRPr="00E34E46">
        <w:t xml:space="preserve"> S’entend de la conception de produits, d’environnements, de programmes et de services utilisables par tous, dans toute la mesure possible, sans qu’il soit nécessaire de les adapter ou de les concevoir de manière spécialisée. La conception universelle n’exclut pas les appareils d’assistance pour les groupes de personnes en situation de handicap lorsqu’ils sont nécessaires (Nations Unies, s. d.-a). </w:t>
      </w:r>
    </w:p>
    <w:p w14:paraId="42080358" w14:textId="72CBD9B5" w:rsidR="00E56C38" w:rsidRPr="00E34E46" w:rsidRDefault="00E56C38" w:rsidP="00354CCF">
      <w:pPr>
        <w:pStyle w:val="APABibliography"/>
      </w:pPr>
      <w:r w:rsidRPr="00E34E46">
        <w:rPr>
          <w:b/>
        </w:rPr>
        <w:t>Conformité :</w:t>
      </w:r>
      <w:r w:rsidRPr="00E34E46">
        <w:t xml:space="preserve"> Le processus de tests et de validation des TIC pour répondre aux exigences fonctionnelles des normes et des directives en matière d’accessibilité (CEN, CENELEC et ETSI, 2021).</w:t>
      </w:r>
    </w:p>
    <w:p w14:paraId="4875284D" w14:textId="116BEB85" w:rsidR="00E56C38" w:rsidRPr="00E34E46" w:rsidRDefault="00E56C38" w:rsidP="00B145AE">
      <w:pPr>
        <w:pStyle w:val="APABibliography"/>
      </w:pPr>
      <w:r w:rsidRPr="00E34E46">
        <w:rPr>
          <w:b/>
        </w:rPr>
        <w:lastRenderedPageBreak/>
        <w:t>Contrat :</w:t>
      </w:r>
      <w:r w:rsidRPr="00E34E46">
        <w:t xml:space="preserve"> Accord ayant force exécutoire pour fournir des biens, exécuter des travaux de construction ou fournir des services (ISO, 2020a).</w:t>
      </w:r>
    </w:p>
    <w:p w14:paraId="5197E9F0" w14:textId="77777777" w:rsidR="00E56C38" w:rsidRPr="00E34E46" w:rsidRDefault="00E56C38" w:rsidP="00613013">
      <w:pPr>
        <w:pStyle w:val="APABibliography"/>
        <w:rPr>
          <w:b/>
          <w:bCs/>
        </w:rPr>
      </w:pPr>
      <w:r w:rsidRPr="00E34E46">
        <w:rPr>
          <w:b/>
        </w:rPr>
        <w:t>Correction (correction pour l’accessibilité) :</w:t>
      </w:r>
      <w:r w:rsidRPr="00E34E46">
        <w:rPr>
          <w:rFonts w:ascii="Times New Roman" w:hAnsi="Times New Roman"/>
        </w:rPr>
        <w:t xml:space="preserve"> </w:t>
      </w:r>
      <w:r w:rsidRPr="00E34E46">
        <w:t>La correction pour l’accessibilité renvoie au processus de repérage et d’élimination d’obstacles à l’accessibilité qui peuvent empêcher en partie ou en totalité des utilisateurs en situation de handicap d’accéder à du contenu numérique (</w:t>
      </w:r>
      <w:proofErr w:type="spellStart"/>
      <w:r w:rsidRPr="00E34E46">
        <w:t>University</w:t>
      </w:r>
      <w:proofErr w:type="spellEnd"/>
      <w:r w:rsidRPr="00E34E46">
        <w:t xml:space="preserve"> of Virginia, s. d.).</w:t>
      </w:r>
    </w:p>
    <w:p w14:paraId="4BF67F78" w14:textId="1A482D81" w:rsidR="00E56C38" w:rsidRPr="00E34E46" w:rsidRDefault="00E56C38" w:rsidP="00A76403">
      <w:pPr>
        <w:pStyle w:val="APABibliography"/>
      </w:pPr>
      <w:r w:rsidRPr="00E34E46">
        <w:rPr>
          <w:b/>
        </w:rPr>
        <w:t xml:space="preserve">Couches d’accessibilité : </w:t>
      </w:r>
      <w:r w:rsidRPr="00E34E46">
        <w:t xml:space="preserve">« Produits qui modifient le code d’une page Web, souvent en utilisant JavaScript, dans le but de détecter et de corriger automatiquement les problèmes d’accessibilité sur le Web. Ces produits prennent généralement la forme d’une extension, d’une application, d’une barre d’outils ou d’un widget que vous pouvez ajouter à la fonctionnalité de votre site Web. » (Public Library </w:t>
      </w:r>
      <w:proofErr w:type="spellStart"/>
      <w:r w:rsidRPr="00E34E46">
        <w:t>Accessibility</w:t>
      </w:r>
      <w:proofErr w:type="spellEnd"/>
      <w:r w:rsidRPr="00E34E46">
        <w:t xml:space="preserve"> Resource Centre, 2024).</w:t>
      </w:r>
    </w:p>
    <w:p w14:paraId="4A84EBEB" w14:textId="4F21ED1B" w:rsidR="00E56C38" w:rsidRPr="00E34E46" w:rsidRDefault="00E56C38" w:rsidP="00A76403">
      <w:pPr>
        <w:pStyle w:val="APABibliography"/>
      </w:pPr>
      <w:r w:rsidRPr="00E34E46">
        <w:rPr>
          <w:b/>
        </w:rPr>
        <w:t>Critère d’acceptation :</w:t>
      </w:r>
      <w:r w:rsidRPr="00E34E46">
        <w:t xml:space="preserve"> Un système ou un élément doit remplir un critère pour être accepté par l’utilisateur, le client ou une autre entité autorisée (ISO/IEC, 2017).</w:t>
      </w:r>
    </w:p>
    <w:p w14:paraId="685B8197" w14:textId="6392102E" w:rsidR="00E56C38" w:rsidRPr="00E34E46" w:rsidRDefault="00E56C38" w:rsidP="00A76403">
      <w:pPr>
        <w:pStyle w:val="APABibliography"/>
      </w:pPr>
      <w:r w:rsidRPr="00E34E46">
        <w:rPr>
          <w:b/>
        </w:rPr>
        <w:lastRenderedPageBreak/>
        <w:t>Critères (ou critères d’admissibilité) :</w:t>
      </w:r>
      <w:r w:rsidRPr="00E34E46">
        <w:t xml:space="preserve"> S’entend des exigences qu’utilise une entreprise pour sélectionner ses fournisseurs. Les critères peuvent comprendre des facteurs comme le prix, la qualité, le délai de livraison, les niveaux de service, et l’accessibilité du produit, du service ou de l’installation.  Des critères obligatoires peuvent établir des seuils minimaux et être notés à l’aide de différentes matrices, telles que des matrices à points ou des matrices binaires (réussite/échec), souvent définies par l’acheteur (gouvernement du Canada, 2009a).</w:t>
      </w:r>
    </w:p>
    <w:p w14:paraId="19877B4A" w14:textId="6EC1BA6F" w:rsidR="00E56C38" w:rsidRPr="00E34E46" w:rsidRDefault="00E56C38" w:rsidP="00A76403">
      <w:pPr>
        <w:pStyle w:val="APABibliography"/>
      </w:pPr>
      <w:r w:rsidRPr="00E34E46">
        <w:rPr>
          <w:b/>
          <w:bCs/>
        </w:rPr>
        <w:t>Critères obligatoires :</w:t>
      </w:r>
      <w:r w:rsidRPr="00E34E46">
        <w:t xml:space="preserve"> Exigences minimales qui doivent figurer dans les documents d’une demande de soumissions et qui doivent être communiquées aux fournisseurs potentiels. Ces critères reposent sur la loi actuelle en matière d’accessibilité et sur les normes les plus élevées en vigueur. Toutes les soumissions potentielles et les projets d’approvisionnement sont évalués selon ces critères. Ils déterminent si une offre ou une proposition passe à la phase suivante de l’approvisionnement (gouvernement du Canada, 2009a).</w:t>
      </w:r>
    </w:p>
    <w:p w14:paraId="7D917BE7" w14:textId="1C7DBAE1" w:rsidR="00E56C38" w:rsidRPr="00E34E46" w:rsidRDefault="00E56C38" w:rsidP="00A76403">
      <w:pPr>
        <w:pStyle w:val="APABibliography"/>
      </w:pPr>
      <w:r w:rsidRPr="00E34E46">
        <w:rPr>
          <w:b/>
        </w:rPr>
        <w:t>Demande de prix :</w:t>
      </w:r>
      <w:r w:rsidRPr="00E34E46">
        <w:t xml:space="preserve"> Cette méthode est utilisée pour solliciter des offres pour des besoins évalués à 25 000 $ ou moins (faible valeur</w:t>
      </w:r>
      <w:proofErr w:type="gramStart"/>
      <w:r w:rsidRPr="00E34E46">
        <w:t>),incluant</w:t>
      </w:r>
      <w:proofErr w:type="gramEnd"/>
      <w:r w:rsidRPr="00E34E46">
        <w:t xml:space="preserve"> </w:t>
      </w:r>
      <w:r w:rsidRPr="00E34E46">
        <w:lastRenderedPageBreak/>
        <w:t>toutes les taxes applicables, auprès d’un ou de plusieurs fournisseurs (gouvernement du Canada, 2009b).</w:t>
      </w:r>
    </w:p>
    <w:p w14:paraId="514B4BB2" w14:textId="1E771245" w:rsidR="00E56C38" w:rsidRPr="00E34E46" w:rsidRDefault="00E56C38" w:rsidP="00A76403">
      <w:pPr>
        <w:pStyle w:val="APABibliography"/>
      </w:pPr>
      <w:r w:rsidRPr="00E34E46">
        <w:rPr>
          <w:b/>
        </w:rPr>
        <w:t>Demande de propositions :</w:t>
      </w:r>
      <w:r w:rsidRPr="00E34E46">
        <w:t xml:space="preserve"> Cette méthode est utilisée pour répondre à des besoins complexes, lorsque le choix d’un fournisseur ne peut se faire uniquement sur la base du prix le plus bas. Elle est utilisée pour obtenir la solution la plus rentable sur la base de critères d’évaluation établis (gouvernement du Canada, 2009b).</w:t>
      </w:r>
    </w:p>
    <w:p w14:paraId="50A3D264" w14:textId="77777777" w:rsidR="00E56C38" w:rsidRPr="00E34E46" w:rsidRDefault="00E56C38" w:rsidP="00A76403">
      <w:pPr>
        <w:pStyle w:val="APABibliography"/>
      </w:pPr>
      <w:r w:rsidRPr="00E34E46">
        <w:rPr>
          <w:b/>
        </w:rPr>
        <w:t>Diversité des fournisseurs :</w:t>
      </w:r>
      <w:r w:rsidRPr="00E34E46">
        <w:t xml:space="preserve"> Initiatives ou programmes délibérés visant à mobiliser et à soutenir une diversité de fournisseurs, tout en favorisant la diversité et l’inclusion dans la chaîne d’approvisionnement de l’organisation en mettant l’accent sur des pratiques d’approvisionnement inclusives (Riding et coll., 2018).</w:t>
      </w:r>
    </w:p>
    <w:p w14:paraId="37CB214B" w14:textId="5904B44F" w:rsidR="00E56C38" w:rsidRPr="00E34E46" w:rsidRDefault="00E56C38" w:rsidP="00354CCF">
      <w:pPr>
        <w:pStyle w:val="APABibliography"/>
      </w:pPr>
      <w:r w:rsidRPr="00E34E46">
        <w:rPr>
          <w:b/>
        </w:rPr>
        <w:t xml:space="preserve">Diversité : </w:t>
      </w:r>
      <w:r w:rsidRPr="00E34E46">
        <w:t>La diversité correspond aux différences entre les personnes d’une organisation, et elle vise à favoriser l’innovation et la croissance au sein de l’organisation. Parmi les types de diversité, mentionnons la diversité culturelle, socioéconomique et expérientielle (McKinsey and Company, 2022).</w:t>
      </w:r>
    </w:p>
    <w:p w14:paraId="06C9015B" w14:textId="1046904B" w:rsidR="00E56C38" w:rsidRPr="00E34E46" w:rsidRDefault="00E56C38" w:rsidP="00A76403">
      <w:pPr>
        <w:pStyle w:val="APABibliography"/>
      </w:pPr>
      <w:r w:rsidRPr="00E34E46">
        <w:rPr>
          <w:b/>
        </w:rPr>
        <w:lastRenderedPageBreak/>
        <w:t>Équipe d’approvisionnement :</w:t>
      </w:r>
      <w:r w:rsidRPr="00E34E46">
        <w:t>  Une équipe d’approvisionnement est un groupe de personnes responsable de l’acquisition de biens et de services. Cette équipe peut être composée d’utilisateurs finaux, de responsables ministériels, de chefs d’équipe, de dirigeants d’unités opérationnelles et de dirigeants d’entreprise. Son but est de faire en sorte que les bons produits ou services soient acquis au prix le plus avantageux possible.</w:t>
      </w:r>
    </w:p>
    <w:p w14:paraId="6845C1FE" w14:textId="77777777" w:rsidR="00E56C38" w:rsidRPr="00E34E46" w:rsidRDefault="00E56C38" w:rsidP="00A76403">
      <w:pPr>
        <w:pStyle w:val="APABibliography"/>
      </w:pPr>
      <w:r w:rsidRPr="00E34E46">
        <w:rPr>
          <w:b/>
        </w:rPr>
        <w:t>Évaluation des risques :</w:t>
      </w:r>
      <w:r w:rsidRPr="00E34E46">
        <w:t xml:space="preserve"> Le processus général permettant de cibler, d’analyser et d’évaluer les risques (ISO, 2009).</w:t>
      </w:r>
    </w:p>
    <w:p w14:paraId="5730277B" w14:textId="7E1A35A1" w:rsidR="00E56C38" w:rsidRPr="00E34E46" w:rsidRDefault="00E56C38" w:rsidP="00A76403">
      <w:pPr>
        <w:pStyle w:val="APABibliography"/>
      </w:pPr>
      <w:r w:rsidRPr="00E34E46">
        <w:rPr>
          <w:b/>
        </w:rPr>
        <w:t>Exigence :</w:t>
      </w:r>
      <w:r w:rsidRPr="00E34E46">
        <w:t xml:space="preserve"> Condition devant être remplie par un système, un composant de système, un produit ou un service, ou capacité d’un tel système, composant de système, produit ou service, permettant de respecter un accord, une norme, une spécification ou un autre document imposé officiellement (ISO/IEC, 2017).</w:t>
      </w:r>
    </w:p>
    <w:p w14:paraId="6D677D56" w14:textId="77777777" w:rsidR="00E56C38" w:rsidRPr="00E34E46" w:rsidRDefault="00E56C38" w:rsidP="00A76403">
      <w:pPr>
        <w:pStyle w:val="APABibliography"/>
      </w:pPr>
      <w:r w:rsidRPr="00E34E46">
        <w:rPr>
          <w:b/>
        </w:rPr>
        <w:t>Expert en la matière :</w:t>
      </w:r>
      <w:r w:rsidRPr="00E34E46">
        <w:t xml:space="preserve"> Personne ayant des connaissances et </w:t>
      </w:r>
      <w:proofErr w:type="gramStart"/>
      <w:r w:rsidRPr="00E34E46">
        <w:t>une expérience spécialisées</w:t>
      </w:r>
      <w:proofErr w:type="gramEnd"/>
      <w:r w:rsidRPr="00E34E46">
        <w:t xml:space="preserve"> dans un domaine particulier et pouvant conseiller en matière d’approvisionnement de différentes manières, </w:t>
      </w:r>
      <w:r w:rsidRPr="00E34E46">
        <w:lastRenderedPageBreak/>
        <w:t>dont la définition de devis techniques, l’évaluation d’offres et la prise de décisions (</w:t>
      </w:r>
      <w:proofErr w:type="spellStart"/>
      <w:r w:rsidRPr="00E34E46">
        <w:t>Patruco</w:t>
      </w:r>
      <w:proofErr w:type="spellEnd"/>
      <w:r w:rsidRPr="00E34E46">
        <w:t xml:space="preserve"> et coll., 2017).</w:t>
      </w:r>
    </w:p>
    <w:p w14:paraId="36403C69" w14:textId="608BBB75" w:rsidR="00E56C38" w:rsidRPr="00E34E46" w:rsidRDefault="00E56C38" w:rsidP="00A76403">
      <w:pPr>
        <w:pStyle w:val="APABibliography"/>
      </w:pPr>
      <w:r w:rsidRPr="00E34E46">
        <w:rPr>
          <w:b/>
        </w:rPr>
        <w:t xml:space="preserve">Expertise en accessibilité interfonctionnelle : </w:t>
      </w:r>
      <w:r w:rsidRPr="00E34E46">
        <w:t>Un terme commercial utilisé de sorte que tous les échelons et toutes les unités d’une organisation possèdent les connaissances, la capacité et les aptitudes de base pour travailler vers un but commun.</w:t>
      </w:r>
    </w:p>
    <w:p w14:paraId="595A5ED6" w14:textId="6BA368F1" w:rsidR="00E56C38" w:rsidRPr="00E34E46" w:rsidRDefault="00E56C38" w:rsidP="00A76403">
      <w:pPr>
        <w:pStyle w:val="APABibliography"/>
      </w:pPr>
      <w:r w:rsidRPr="00E34E46">
        <w:rPr>
          <w:b/>
        </w:rPr>
        <w:t xml:space="preserve">Fondé sur des données probantes : </w:t>
      </w:r>
      <w:r w:rsidRPr="00E34E46">
        <w:t xml:space="preserve">Se rapporte à une démarche en médecine, en éducation et en d’autres disciplines qui met l’accent sur la mise en pratique des résultats des meilleures recherches actuelles. (Oxford English </w:t>
      </w:r>
      <w:proofErr w:type="spellStart"/>
      <w:r w:rsidRPr="00E34E46">
        <w:t>Dictionary</w:t>
      </w:r>
      <w:proofErr w:type="spellEnd"/>
      <w:r w:rsidRPr="00E34E46">
        <w:t>, 2016).</w:t>
      </w:r>
    </w:p>
    <w:p w14:paraId="7AF517A6" w14:textId="77777777" w:rsidR="00E56C38" w:rsidRPr="00E34E46" w:rsidRDefault="00E56C38" w:rsidP="00A76403">
      <w:pPr>
        <w:pStyle w:val="APABibliography"/>
      </w:pPr>
      <w:r w:rsidRPr="00E34E46">
        <w:rPr>
          <w:b/>
        </w:rPr>
        <w:t>Fournisseur :</w:t>
      </w:r>
      <w:r w:rsidRPr="00E34E46">
        <w:t xml:space="preserve"> Organisation ou entreprise qui fournit des biens et des services au secteur public. Souvent, les fournisseurs concluent des accords contractuels formels. </w:t>
      </w:r>
    </w:p>
    <w:p w14:paraId="27992854" w14:textId="77777777" w:rsidR="00E56C38" w:rsidRPr="00E34E46" w:rsidRDefault="00E56C38" w:rsidP="00A76403">
      <w:pPr>
        <w:pStyle w:val="APABibliography"/>
      </w:pPr>
      <w:r w:rsidRPr="00E34E46">
        <w:rPr>
          <w:b/>
        </w:rPr>
        <w:t>Fournisseur :</w:t>
      </w:r>
      <w:r w:rsidRPr="00E34E46">
        <w:rPr>
          <w:color w:val="333333"/>
        </w:rPr>
        <w:t xml:space="preserve"> </w:t>
      </w:r>
      <w:r w:rsidRPr="00E34E46">
        <w:t>S’entend d’une organisation ou d’une personne qui conclut un accord avec l’acquéreur pour la fourniture d’un produit ou d’un service (ISO/IEC/IEEE, 2023).</w:t>
      </w:r>
    </w:p>
    <w:p w14:paraId="39ACDD15" w14:textId="0569AE9B" w:rsidR="00E56C38" w:rsidRPr="00E34E46" w:rsidRDefault="00E56C38" w:rsidP="00A76403">
      <w:pPr>
        <w:pStyle w:val="APABibliography"/>
      </w:pPr>
      <w:r w:rsidRPr="00E34E46">
        <w:rPr>
          <w:b/>
        </w:rPr>
        <w:lastRenderedPageBreak/>
        <w:t>Inclusion des personnes en situation de handicap :</w:t>
      </w:r>
      <w:r w:rsidRPr="00E34E46">
        <w:t xml:space="preserve"> Renvoie à la participation significative des personnes en situation de handicap, dans toute leur diversité, à la promotion et à l’intégration de leurs droits dans les travaux de l’Organisation, au développement de programmes propres aux personnes en situation de handicap, et à la prise en compte des perspectives liées au handicap, conformément à la Convention relative aux droits des personnes handicapées (CIDPH). L’élaboration et la mise en œuvre d’une approche cohérente et systématique de l’inclusion des personnes en situation de handicap sont alors nécessaires dans les opérations et les programmes, tant en interne qu’en externe (Nations Unies, 2019).</w:t>
      </w:r>
    </w:p>
    <w:p w14:paraId="37AA3BCE" w14:textId="63966A89" w:rsidR="00E56C38" w:rsidRPr="00E34E46" w:rsidRDefault="00E56C38" w:rsidP="00A76403">
      <w:pPr>
        <w:pStyle w:val="APABibliography"/>
      </w:pPr>
      <w:r w:rsidRPr="00E34E46">
        <w:rPr>
          <w:b/>
        </w:rPr>
        <w:t>Inclusion :</w:t>
      </w:r>
      <w:r w:rsidRPr="00E34E46">
        <w:t xml:space="preserve"> Les intervenants de différents groupes sont acceptés, accueillis, et habilités à s’</w:t>
      </w:r>
      <w:r w:rsidRPr="00E34E46">
        <w:rPr>
          <w:i/>
        </w:rPr>
        <w:t>exprimer</w:t>
      </w:r>
      <w:r w:rsidRPr="00E34E46">
        <w:t xml:space="preserve"> et à développer un sentiment d’appartenance (ISO, 2021).</w:t>
      </w:r>
    </w:p>
    <w:p w14:paraId="18C52B20" w14:textId="1C81F119" w:rsidR="00E56C38" w:rsidRPr="00E34E46" w:rsidRDefault="00E56C38" w:rsidP="00354CCF">
      <w:pPr>
        <w:pStyle w:val="APABibliography"/>
      </w:pPr>
      <w:r w:rsidRPr="00E34E46">
        <w:rPr>
          <w:b/>
        </w:rPr>
        <w:t>Indicateur de rendement clé :</w:t>
      </w:r>
      <w:r w:rsidRPr="00E34E46">
        <w:t xml:space="preserve"> Niveau quantifiable de réalisation d’un objectif critique.  Remarque : Les IRC sont dérivés directement ou par une fonction d’agrégation de mesures physiques, de données ou d’autres IRC (ISO, 2014).</w:t>
      </w:r>
    </w:p>
    <w:p w14:paraId="5F142392" w14:textId="400B1211" w:rsidR="00E56C38" w:rsidRPr="00E34E46" w:rsidRDefault="00E56C38" w:rsidP="00A76403">
      <w:pPr>
        <w:pStyle w:val="APABibliography"/>
      </w:pPr>
      <w:r w:rsidRPr="00E34E46">
        <w:rPr>
          <w:b/>
        </w:rPr>
        <w:lastRenderedPageBreak/>
        <w:t>Interopérabilité :</w:t>
      </w:r>
      <w:r w:rsidRPr="00E34E46">
        <w:t xml:space="preserve"> Caractéristique de deux ou plusieurs systèmes ou produits pour fonctionner ou échanger de l’information avec d’autres produits ou systèmes, dont des technologies accessibles (ISO/IEC/IEEE, 2017).</w:t>
      </w:r>
    </w:p>
    <w:p w14:paraId="22A573AE" w14:textId="03C0E2AE" w:rsidR="00E56C38" w:rsidRPr="00E34E46" w:rsidRDefault="00E56C38" w:rsidP="00354CCF">
      <w:pPr>
        <w:pStyle w:val="APABibliography"/>
      </w:pPr>
      <w:r w:rsidRPr="00E34E46">
        <w:rPr>
          <w:b/>
        </w:rPr>
        <w:t>Intersectionnalité :</w:t>
      </w:r>
      <w:r w:rsidRPr="00E34E46">
        <w:t xml:space="preserve"> Combinaison d’une ou plusieurs dimensions de la diversité avec d’autres caractéristiques personnelles faisant partie de l’identité d’une personne.  Remarque : Ces dimensions de la diversité et ces caractéristiques personnelles s’entrecroisent, de sorte que chacune est liée à l’autre et influence la vie et l’expérience professionnelle de la personne (ISO, 2021).</w:t>
      </w:r>
    </w:p>
    <w:p w14:paraId="4053934E" w14:textId="77777777" w:rsidR="00E56C38" w:rsidRPr="00E34E46" w:rsidRDefault="00E56C38" w:rsidP="00A76403">
      <w:pPr>
        <w:pStyle w:val="APABibliography"/>
      </w:pPr>
      <w:r w:rsidRPr="00E34E46">
        <w:rPr>
          <w:b/>
        </w:rPr>
        <w:t>Norme :</w:t>
      </w:r>
      <w:r w:rsidRPr="00E34E46">
        <w:t xml:space="preserve"> Ensemble de lignes directrices, de connaissances et de recommandations établi par des experts en la matière pour créer une cohérence et une reproductibilité entre des secteurs, des usines, des lieux de travail et des technologies (ISO, s. d.).</w:t>
      </w:r>
    </w:p>
    <w:p w14:paraId="614700E8" w14:textId="19C4F226" w:rsidR="00E56C38" w:rsidRPr="00E34E46" w:rsidRDefault="00E56C38" w:rsidP="00A76403">
      <w:pPr>
        <w:pStyle w:val="APABibliography"/>
      </w:pPr>
      <w:r w:rsidRPr="00E34E46">
        <w:rPr>
          <w:b/>
        </w:rPr>
        <w:t>Obstacle :</w:t>
      </w:r>
      <w:r w:rsidRPr="00E34E46">
        <w:t xml:space="preserve"> Toute caractéristique ou toute combinaison de caractéristiques qui empêche une personne, qu’elle soit ou non en situation de handicap, d’accéder à un bien, à un service ou à une installation, en </w:t>
      </w:r>
      <w:r w:rsidRPr="00E34E46">
        <w:lastRenderedPageBreak/>
        <w:t>tout ou en partie. Il peut s’agir d’éléments physiques, architecturaux, technologiques ou attitudinaux, ou encore d’éléments de l’environnement bâti, de la communication, des politiques et des pratiques (gouvernement du Canada, 2019).</w:t>
      </w:r>
    </w:p>
    <w:p w14:paraId="7BFAC1DC" w14:textId="18141E49" w:rsidR="00E56C38" w:rsidRPr="00E34E46" w:rsidRDefault="00E56C38" w:rsidP="00A76403">
      <w:pPr>
        <w:pStyle w:val="APABibliography"/>
      </w:pPr>
      <w:r w:rsidRPr="00E34E46">
        <w:rPr>
          <w:b/>
        </w:rPr>
        <w:t>Points de contrôle de l’accessibilité :</w:t>
      </w:r>
      <w:r w:rsidRPr="00E34E46">
        <w:t xml:space="preserve"> Points intégrés dans le processus d’approvisionnement pour la gestion de projets et l’établissement des priorités. Ces points de contrôle permettent l’annulation de l’approvisionnement et sont pris en compte lors de l’élaboration des contrats. Ces éléments font ensuite l’objet de négociations avec les fournisseurs potentiels.</w:t>
      </w:r>
    </w:p>
    <w:p w14:paraId="5DEBFF3E" w14:textId="77777777" w:rsidR="00E56C38" w:rsidRPr="00E34E46" w:rsidRDefault="00E56C38" w:rsidP="00A76403">
      <w:pPr>
        <w:pStyle w:val="APABibliography"/>
      </w:pPr>
      <w:r w:rsidRPr="00E34E46">
        <w:rPr>
          <w:b/>
        </w:rPr>
        <w:t>Produit :</w:t>
      </w:r>
      <w:r w:rsidRPr="00E34E46">
        <w:t xml:space="preserve"> Article ou substance dont la vente est proposée ou qui fait partie d’un service fourni par une organisation (ISO, 2010).</w:t>
      </w:r>
    </w:p>
    <w:p w14:paraId="41ABE423" w14:textId="77777777" w:rsidR="00E56C38" w:rsidRPr="00E34E46" w:rsidRDefault="00E56C38" w:rsidP="00A76403">
      <w:pPr>
        <w:pStyle w:val="APABibliography"/>
      </w:pPr>
      <w:r w:rsidRPr="00E34E46">
        <w:rPr>
          <w:b/>
        </w:rPr>
        <w:t>Programmes de marchés réservés :</w:t>
      </w:r>
      <w:r w:rsidRPr="00E34E46">
        <w:rPr>
          <w:bCs/>
        </w:rPr>
        <w:t xml:space="preserve"> Ces programmes</w:t>
      </w:r>
      <w:r w:rsidRPr="00E34E46">
        <w:t xml:space="preserve"> permettent à l’acheteur de limiter la concurrence pour un achat donné à des entreprises données afin d’accroître les possibilités d’approvisionnement pour les membres de groupes d’équité (BOA, 2023).</w:t>
      </w:r>
    </w:p>
    <w:p w14:paraId="7A5BDACB" w14:textId="27EEDD6C" w:rsidR="00E56C38" w:rsidRPr="00E34E46" w:rsidRDefault="00E56C38" w:rsidP="00A76403">
      <w:pPr>
        <w:pStyle w:val="APABibliography"/>
      </w:pPr>
      <w:r w:rsidRPr="00E34E46">
        <w:rPr>
          <w:b/>
        </w:rPr>
        <w:lastRenderedPageBreak/>
        <w:t xml:space="preserve">Responsabilisation : </w:t>
      </w:r>
      <w:r w:rsidRPr="00E34E46">
        <w:t>L’état lié à la responsabilité à l’égard des décisions et des activités devant les organes de gouvernance de l’organisation, de ses autorités légales et, de façon plus générale, de ses intervenants (ISO, 2010).</w:t>
      </w:r>
    </w:p>
    <w:p w14:paraId="30E593E9" w14:textId="77777777" w:rsidR="00E56C38" w:rsidRPr="00E34E46" w:rsidRDefault="00E56C38" w:rsidP="00A76403">
      <w:pPr>
        <w:pStyle w:val="APABibliography"/>
      </w:pPr>
      <w:r w:rsidRPr="00E34E46">
        <w:rPr>
          <w:b/>
        </w:rPr>
        <w:t>Service :</w:t>
      </w:r>
      <w:r w:rsidRPr="00E34E46">
        <w:t xml:space="preserve"> Action d’une organisation pour répondre à une demande ou à un besoin (ISO, 2010).</w:t>
      </w:r>
    </w:p>
    <w:p w14:paraId="7268165A" w14:textId="2745A563" w:rsidR="00E56C38" w:rsidRPr="00E34E46" w:rsidRDefault="00E56C38" w:rsidP="00A76403">
      <w:pPr>
        <w:pStyle w:val="APABibliography"/>
      </w:pPr>
      <w:r w:rsidRPr="00E34E46">
        <w:rPr>
          <w:b/>
        </w:rPr>
        <w:t>Seuils d’accessibilité :</w:t>
      </w:r>
      <w:r w:rsidRPr="00E34E46">
        <w:t xml:space="preserve"> Ces seuils reposent sur des exigences obligatoires (un ensemble minimum de critères) qu’INCA doit prendre en compte pour évaluer une soumission. Les biens, les services, les produits et les fournisseurs potentiels doivent remplir ces critères pour passer à la phase suivante d’approvisionnement.</w:t>
      </w:r>
    </w:p>
    <w:p w14:paraId="1E2E6A31" w14:textId="35E68575" w:rsidR="00E56C38" w:rsidRPr="00E34E46" w:rsidRDefault="00E56C38" w:rsidP="00A76403">
      <w:pPr>
        <w:pStyle w:val="APABibliography"/>
      </w:pPr>
      <w:r w:rsidRPr="00E34E46">
        <w:rPr>
          <w:b/>
        </w:rPr>
        <w:t xml:space="preserve">Test d’acceptation : </w:t>
      </w:r>
      <w:r w:rsidRPr="00E34E46">
        <w:t>Test officiel réalisé par un utilisateur, un client ou une autre entité autorisée pour déterminer s’il accepte un système ou un élément donné (ISO/IEC, 2017).</w:t>
      </w:r>
    </w:p>
    <w:p w14:paraId="75AC9810" w14:textId="679A9FB6" w:rsidR="00E56C38" w:rsidRPr="00E34E46" w:rsidRDefault="00E56C38" w:rsidP="00A76403">
      <w:pPr>
        <w:pStyle w:val="APABibliography"/>
      </w:pPr>
      <w:r w:rsidRPr="00E34E46">
        <w:rPr>
          <w:b/>
        </w:rPr>
        <w:t>Utilisabilité :</w:t>
      </w:r>
      <w:r w:rsidRPr="00E34E46">
        <w:t xml:space="preserve"> Mesure dans laquelle des utilisateurs donnés peuvent utiliser un produit afin d’atteindre, avec efficacité et satisfaction, des objectifs définis, dans un contexte d’utilisation précis (ISO, 2018).</w:t>
      </w:r>
    </w:p>
    <w:p w14:paraId="79529BD7" w14:textId="77777777" w:rsidR="00E56C38" w:rsidRPr="00E34E46" w:rsidRDefault="00E56C38" w:rsidP="00A76403">
      <w:pPr>
        <w:pStyle w:val="APABibliography"/>
      </w:pPr>
      <w:r w:rsidRPr="00E34E46">
        <w:rPr>
          <w:b/>
        </w:rPr>
        <w:lastRenderedPageBreak/>
        <w:t>VPAT :</w:t>
      </w:r>
      <w:r w:rsidRPr="00E34E46">
        <w:t xml:space="preserve"> Un modèle volontaire d’accessibilité des produits (VPAT) est un document qui explique comment les produits de TIC (logiciels, matériel informatique, contenu électronique et documentation d’appui) répondent aux normes d’accessibilité (Information </w:t>
      </w:r>
      <w:proofErr w:type="spellStart"/>
      <w:r w:rsidRPr="00E34E46">
        <w:t>Technology</w:t>
      </w:r>
      <w:proofErr w:type="spellEnd"/>
      <w:r w:rsidRPr="00E34E46">
        <w:t xml:space="preserve"> </w:t>
      </w:r>
      <w:proofErr w:type="spellStart"/>
      <w:r w:rsidRPr="00E34E46">
        <w:t>Industry</w:t>
      </w:r>
      <w:proofErr w:type="spellEnd"/>
      <w:r w:rsidRPr="00E34E46">
        <w:t xml:space="preserve"> Council, s. d.).</w:t>
      </w:r>
    </w:p>
    <w:p w14:paraId="2533A184" w14:textId="75582520" w:rsidR="00DD4B10" w:rsidRPr="00E34E46" w:rsidRDefault="00D87C1A" w:rsidP="00E56C38">
      <w:pPr>
        <w:rPr>
          <w:rFonts w:cstheme="majorBidi"/>
          <w:color w:val="0F4761" w:themeColor="accent1" w:themeShade="BF"/>
        </w:rPr>
      </w:pPr>
      <w:r w:rsidRPr="00E34E46">
        <w:t> </w:t>
      </w:r>
      <w:bookmarkStart w:id="187" w:name="_Toc171102987"/>
      <w:r w:rsidR="00DD4B10" w:rsidRPr="00E34E46">
        <w:br w:type="page"/>
      </w:r>
    </w:p>
    <w:p w14:paraId="1197D453" w14:textId="77777777" w:rsidR="005243E8" w:rsidRPr="00E34E46" w:rsidRDefault="005243E8" w:rsidP="005243E8">
      <w:pPr>
        <w:pStyle w:val="Heading2"/>
        <w:rPr>
          <w:rFonts w:cs="Segoe UI"/>
        </w:rPr>
      </w:pPr>
      <w:bookmarkStart w:id="188" w:name="_Toc224836483"/>
      <w:bookmarkStart w:id="189" w:name="_Toc224836711"/>
      <w:bookmarkEnd w:id="187"/>
      <w:r w:rsidRPr="00E34E46">
        <w:lastRenderedPageBreak/>
        <w:t>Références</w:t>
      </w:r>
      <w:bookmarkEnd w:id="188"/>
      <w:bookmarkEnd w:id="189"/>
    </w:p>
    <w:p w14:paraId="20656C73" w14:textId="72E3742A" w:rsidR="009C026F" w:rsidRPr="00E34E46" w:rsidRDefault="009C026F" w:rsidP="005243E8">
      <w:pPr>
        <w:pStyle w:val="APABibliography"/>
      </w:pPr>
      <w:r w:rsidRPr="00E34E46">
        <w:t xml:space="preserve">Agi, M.A.N., S. Faramarzi-Oghani et Ö. </w:t>
      </w:r>
      <w:proofErr w:type="spellStart"/>
      <w:r w:rsidRPr="00E34E46">
        <w:t>Hazır</w:t>
      </w:r>
      <w:proofErr w:type="spellEnd"/>
      <w:r w:rsidRPr="00E34E46">
        <w:t xml:space="preserve">. (2021). « Game </w:t>
      </w:r>
      <w:proofErr w:type="spellStart"/>
      <w:r w:rsidRPr="00E34E46">
        <w:t>theory-based</w:t>
      </w:r>
      <w:proofErr w:type="spellEnd"/>
      <w:r w:rsidRPr="00E34E46">
        <w:t xml:space="preserve"> </w:t>
      </w:r>
      <w:proofErr w:type="spellStart"/>
      <w:r w:rsidRPr="00E34E46">
        <w:t>models</w:t>
      </w:r>
      <w:proofErr w:type="spellEnd"/>
      <w:r w:rsidRPr="00E34E46">
        <w:t xml:space="preserve"> in green </w:t>
      </w:r>
      <w:proofErr w:type="spellStart"/>
      <w:r w:rsidRPr="00E34E46">
        <w:t>supply</w:t>
      </w:r>
      <w:proofErr w:type="spellEnd"/>
      <w:r w:rsidRPr="00E34E46">
        <w:t xml:space="preserve"> </w:t>
      </w:r>
      <w:proofErr w:type="spellStart"/>
      <w:r w:rsidRPr="00E34E46">
        <w:t>chain</w:t>
      </w:r>
      <w:proofErr w:type="spellEnd"/>
      <w:r w:rsidRPr="00E34E46">
        <w:t xml:space="preserve"> management: A </w:t>
      </w:r>
      <w:proofErr w:type="spellStart"/>
      <w:r w:rsidRPr="00E34E46">
        <w:t>review</w:t>
      </w:r>
      <w:proofErr w:type="spellEnd"/>
      <w:r w:rsidRPr="00E34E46">
        <w:t xml:space="preserve"> of the </w:t>
      </w:r>
      <w:proofErr w:type="spellStart"/>
      <w:r w:rsidRPr="00E34E46">
        <w:t>literature</w:t>
      </w:r>
      <w:proofErr w:type="spellEnd"/>
      <w:r w:rsidRPr="00E34E46">
        <w:t xml:space="preserve"> » dans </w:t>
      </w:r>
      <w:r w:rsidRPr="00E34E46">
        <w:rPr>
          <w:i/>
        </w:rPr>
        <w:t>International Journal of Production Research</w:t>
      </w:r>
      <w:r w:rsidRPr="00E34E46">
        <w:t xml:space="preserve">, </w:t>
      </w:r>
      <w:r w:rsidRPr="00E34E46">
        <w:rPr>
          <w:i/>
        </w:rPr>
        <w:t>59</w:t>
      </w:r>
      <w:r w:rsidRPr="00E34E46">
        <w:t xml:space="preserve">(15), p. 4736-4755. En ligne : </w:t>
      </w:r>
      <w:hyperlink r:id="rId15" w:history="1">
        <w:r w:rsidRPr="00E34E46">
          <w:rPr>
            <w:rStyle w:val="Hyperlink"/>
          </w:rPr>
          <w:t>https://doi.org/10.1080/00207543.2020.1770893</w:t>
        </w:r>
      </w:hyperlink>
    </w:p>
    <w:p w14:paraId="6DFE422E" w14:textId="29E1D00C" w:rsidR="009C026F" w:rsidRPr="00E34E46" w:rsidRDefault="009C026F" w:rsidP="005243E8">
      <w:pPr>
        <w:pStyle w:val="APABibliography"/>
      </w:pPr>
      <w:r w:rsidRPr="00E34E46">
        <w:t>Alexiou, G. (26 juin 2021). « </w:t>
      </w:r>
      <w:proofErr w:type="spellStart"/>
      <w:r w:rsidRPr="00E34E46">
        <w:t>Largest</w:t>
      </w:r>
      <w:proofErr w:type="spellEnd"/>
      <w:r w:rsidRPr="00E34E46">
        <w:t xml:space="preserve"> U.S. Blind </w:t>
      </w:r>
      <w:proofErr w:type="spellStart"/>
      <w:r w:rsidRPr="00E34E46">
        <w:t>Advocacy</w:t>
      </w:r>
      <w:proofErr w:type="spellEnd"/>
      <w:r w:rsidRPr="00E34E46">
        <w:t xml:space="preserve"> Group Bans Web </w:t>
      </w:r>
      <w:proofErr w:type="spellStart"/>
      <w:r w:rsidRPr="00E34E46">
        <w:t>Accessibility</w:t>
      </w:r>
      <w:proofErr w:type="spellEnd"/>
      <w:r w:rsidRPr="00E34E46">
        <w:t xml:space="preserve"> Overlay Giant </w:t>
      </w:r>
      <w:proofErr w:type="spellStart"/>
      <w:r w:rsidRPr="00E34E46">
        <w:t>AccessiBe</w:t>
      </w:r>
      <w:proofErr w:type="spellEnd"/>
      <w:r w:rsidRPr="00E34E46">
        <w:t xml:space="preserve"> From </w:t>
      </w:r>
      <w:proofErr w:type="spellStart"/>
      <w:r w:rsidRPr="00E34E46">
        <w:t>Its</w:t>
      </w:r>
      <w:proofErr w:type="spellEnd"/>
      <w:r w:rsidRPr="00E34E46">
        <w:t xml:space="preserve"> National Convention » dans </w:t>
      </w:r>
      <w:r w:rsidRPr="00E34E46">
        <w:rPr>
          <w:i/>
        </w:rPr>
        <w:t>Forbes</w:t>
      </w:r>
      <w:r w:rsidRPr="00E34E46">
        <w:t xml:space="preserve">. En ligne : </w:t>
      </w:r>
      <w:hyperlink r:id="rId16" w:history="1">
        <w:r w:rsidRPr="00E34E46">
          <w:rPr>
            <w:rStyle w:val="Hyperlink"/>
          </w:rPr>
          <w:t>https://www.forbes.com/sites/gusalexiou/2021/06/26/largest-us-blind-advocacy-group-bans-web-accessibility-overlay-giant-accessibe/</w:t>
        </w:r>
      </w:hyperlink>
    </w:p>
    <w:p w14:paraId="4E3DC6B6" w14:textId="677BC5A9" w:rsidR="009C026F" w:rsidRPr="00E34E46" w:rsidRDefault="009C026F" w:rsidP="005243E8">
      <w:pPr>
        <w:pStyle w:val="APABibliography"/>
      </w:pPr>
      <w:r w:rsidRPr="00E34E46">
        <w:t xml:space="preserve">Allen, B., P.-A. Hudon et S. Schwartz. (2021). « Guest editors’ introduction to the </w:t>
      </w:r>
      <w:proofErr w:type="spellStart"/>
      <w:r w:rsidRPr="00E34E46">
        <w:t>special</w:t>
      </w:r>
      <w:proofErr w:type="spellEnd"/>
      <w:r w:rsidRPr="00E34E46">
        <w:t xml:space="preserve"> issue on </w:t>
      </w:r>
      <w:proofErr w:type="spellStart"/>
      <w:r w:rsidRPr="00E34E46">
        <w:t>procurement</w:t>
      </w:r>
      <w:proofErr w:type="spellEnd"/>
      <w:r w:rsidRPr="00E34E46">
        <w:t xml:space="preserve"> and public </w:t>
      </w:r>
      <w:proofErr w:type="spellStart"/>
      <w:r w:rsidRPr="00E34E46">
        <w:t>policy</w:t>
      </w:r>
      <w:proofErr w:type="spellEnd"/>
      <w:r w:rsidRPr="00E34E46">
        <w:t xml:space="preserve"> » dans </w:t>
      </w:r>
      <w:r w:rsidRPr="00E34E46">
        <w:rPr>
          <w:i/>
        </w:rPr>
        <w:t>Canadian Public Administration</w:t>
      </w:r>
      <w:r w:rsidRPr="00E34E46">
        <w:t xml:space="preserve">, </w:t>
      </w:r>
      <w:r w:rsidRPr="00E34E46">
        <w:rPr>
          <w:i/>
        </w:rPr>
        <w:t>64</w:t>
      </w:r>
      <w:r w:rsidRPr="00E34E46">
        <w:t xml:space="preserve">(2), p. 175-178. En ligne : </w:t>
      </w:r>
      <w:hyperlink r:id="rId17" w:history="1">
        <w:r w:rsidRPr="00E34E46">
          <w:rPr>
            <w:rStyle w:val="Hyperlink"/>
          </w:rPr>
          <w:t>https://doi.org/10.1111/capa.12416</w:t>
        </w:r>
      </w:hyperlink>
      <w:r w:rsidRPr="00E34E46">
        <w:t>)</w:t>
      </w:r>
    </w:p>
    <w:p w14:paraId="32FD1274" w14:textId="29D53A0C" w:rsidR="009C026F" w:rsidRPr="00E34E46" w:rsidRDefault="009C026F" w:rsidP="005243E8">
      <w:pPr>
        <w:pStyle w:val="APABibliography"/>
      </w:pPr>
      <w:r w:rsidRPr="00E34E46">
        <w:lastRenderedPageBreak/>
        <w:t xml:space="preserve">Arora, V. et M. Ventresca. (2018). « Modeling </w:t>
      </w:r>
      <w:proofErr w:type="spellStart"/>
      <w:r w:rsidRPr="00E34E46">
        <w:t>topologically</w:t>
      </w:r>
      <w:proofErr w:type="spellEnd"/>
      <w:r w:rsidRPr="00E34E46">
        <w:t xml:space="preserve"> </w:t>
      </w:r>
      <w:proofErr w:type="spellStart"/>
      <w:r w:rsidRPr="00E34E46">
        <w:t>resilient</w:t>
      </w:r>
      <w:proofErr w:type="spellEnd"/>
      <w:r w:rsidRPr="00E34E46">
        <w:t xml:space="preserve"> </w:t>
      </w:r>
      <w:proofErr w:type="spellStart"/>
      <w:r w:rsidRPr="00E34E46">
        <w:t>supply</w:t>
      </w:r>
      <w:proofErr w:type="spellEnd"/>
      <w:r w:rsidRPr="00E34E46">
        <w:t xml:space="preserve"> </w:t>
      </w:r>
      <w:proofErr w:type="spellStart"/>
      <w:r w:rsidRPr="00E34E46">
        <w:t>chain</w:t>
      </w:r>
      <w:proofErr w:type="spellEnd"/>
      <w:r w:rsidRPr="00E34E46">
        <w:t xml:space="preserve"> networks » dans </w:t>
      </w:r>
      <w:r w:rsidRPr="00E34E46">
        <w:rPr>
          <w:i/>
        </w:rPr>
        <w:t>Applied Network Science</w:t>
      </w:r>
      <w:r w:rsidRPr="00E34E46">
        <w:t xml:space="preserve">, </w:t>
      </w:r>
      <w:r w:rsidRPr="00E34E46">
        <w:rPr>
          <w:i/>
        </w:rPr>
        <w:t>3</w:t>
      </w:r>
      <w:r w:rsidRPr="00E34E46">
        <w:t xml:space="preserve">(1), p. 19. En ligne : </w:t>
      </w:r>
      <w:hyperlink r:id="rId18" w:history="1">
        <w:r w:rsidRPr="00E34E46">
          <w:rPr>
            <w:rStyle w:val="Hyperlink"/>
          </w:rPr>
          <w:t>https://doi.org/10.1007/s41109-018-0070-7</w:t>
        </w:r>
      </w:hyperlink>
    </w:p>
    <w:p w14:paraId="31B9B9EB" w14:textId="17A5DB11" w:rsidR="009C026F" w:rsidRPr="00E34E46" w:rsidRDefault="009C026F" w:rsidP="005243E8">
      <w:pPr>
        <w:pStyle w:val="APABibliography"/>
      </w:pPr>
      <w:r w:rsidRPr="00E34E46">
        <w:t xml:space="preserve">Arrowsmith, S. et P. </w:t>
      </w:r>
      <w:proofErr w:type="spellStart"/>
      <w:r w:rsidRPr="00E34E46">
        <w:t>Kunzlik</w:t>
      </w:r>
      <w:proofErr w:type="spellEnd"/>
      <w:r w:rsidRPr="00E34E46">
        <w:t xml:space="preserve"> (éd.). (2009). </w:t>
      </w:r>
      <w:r w:rsidRPr="00E34E46">
        <w:rPr>
          <w:i/>
        </w:rPr>
        <w:t xml:space="preserve">Social and </w:t>
      </w:r>
      <w:proofErr w:type="spellStart"/>
      <w:r w:rsidRPr="00E34E46">
        <w:rPr>
          <w:i/>
        </w:rPr>
        <w:t>Environmental</w:t>
      </w:r>
      <w:proofErr w:type="spellEnd"/>
      <w:r w:rsidRPr="00E34E46">
        <w:rPr>
          <w:i/>
        </w:rPr>
        <w:t xml:space="preserve"> </w:t>
      </w:r>
      <w:proofErr w:type="spellStart"/>
      <w:r w:rsidRPr="00E34E46">
        <w:rPr>
          <w:i/>
        </w:rPr>
        <w:t>Policies</w:t>
      </w:r>
      <w:proofErr w:type="spellEnd"/>
      <w:r w:rsidRPr="00E34E46">
        <w:rPr>
          <w:i/>
        </w:rPr>
        <w:t xml:space="preserve"> in EC Procurement Law: New Directives and New Directions</w:t>
      </w:r>
      <w:r w:rsidRPr="00E34E46">
        <w:t xml:space="preserve">. Cambridge </w:t>
      </w:r>
      <w:proofErr w:type="spellStart"/>
      <w:r w:rsidRPr="00E34E46">
        <w:t>University</w:t>
      </w:r>
      <w:proofErr w:type="spellEnd"/>
      <w:r w:rsidRPr="00E34E46">
        <w:t xml:space="preserve"> Press. En ligne : </w:t>
      </w:r>
      <w:hyperlink r:id="rId19" w:history="1">
        <w:r w:rsidRPr="00E34E46">
          <w:rPr>
            <w:rStyle w:val="Hyperlink"/>
          </w:rPr>
          <w:t>https://doi.org/10.1017/CBO9780511576041</w:t>
        </w:r>
      </w:hyperlink>
    </w:p>
    <w:p w14:paraId="3D1E34AD" w14:textId="6D53EF8E" w:rsidR="009C026F" w:rsidRPr="00E34E46" w:rsidRDefault="009C026F" w:rsidP="005243E8">
      <w:pPr>
        <w:pStyle w:val="APABibliography"/>
        <w:rPr>
          <w:rFonts w:cs="Times New Roman"/>
        </w:rPr>
      </w:pPr>
      <w:proofErr w:type="spellStart"/>
      <w:r w:rsidRPr="00E34E46">
        <w:t>Australian</w:t>
      </w:r>
      <w:proofErr w:type="spellEnd"/>
      <w:r w:rsidRPr="00E34E46">
        <w:t xml:space="preserve"> </w:t>
      </w:r>
      <w:proofErr w:type="spellStart"/>
      <w:r w:rsidRPr="00E34E46">
        <w:t>Government</w:t>
      </w:r>
      <w:proofErr w:type="spellEnd"/>
      <w:r w:rsidRPr="00E34E46">
        <w:t xml:space="preserve">, </w:t>
      </w:r>
      <w:proofErr w:type="spellStart"/>
      <w:r w:rsidRPr="00E34E46">
        <w:t>Department</w:t>
      </w:r>
      <w:proofErr w:type="spellEnd"/>
      <w:r w:rsidRPr="00E34E46">
        <w:t xml:space="preserve"> of Finance. (2023). Commonwealth Procurement Rules. </w:t>
      </w:r>
      <w:r w:rsidR="00E60487" w:rsidRPr="00E34E46">
        <w:t>En ligne :</w:t>
      </w:r>
      <w:r w:rsidRPr="00E34E46">
        <w:t xml:space="preserve"> </w:t>
      </w:r>
      <w:hyperlink r:id="rId20" w:tgtFrame="_blank" w:history="1">
        <w:r w:rsidRPr="00E34E46">
          <w:rPr>
            <w:rStyle w:val="Hyperlink"/>
          </w:rPr>
          <w:t>https://www.finance.gov.au/sites/default/files/2023-06/Commonwealth%20Procurement%20Rules%20-%2013%20June%202023.pdf</w:t>
        </w:r>
      </w:hyperlink>
    </w:p>
    <w:p w14:paraId="4AD7B58D" w14:textId="12AD3041" w:rsidR="009C026F" w:rsidRPr="00E34E46" w:rsidRDefault="009C026F" w:rsidP="005243E8">
      <w:pPr>
        <w:pStyle w:val="APABibliography"/>
      </w:pPr>
      <w:proofErr w:type="spellStart"/>
      <w:r w:rsidRPr="00E34E46">
        <w:t>Barraket</w:t>
      </w:r>
      <w:proofErr w:type="spellEnd"/>
      <w:r w:rsidRPr="00E34E46">
        <w:t>, J., R. Keast et C. Furneaux. (2015). « </w:t>
      </w:r>
      <w:proofErr w:type="spellStart"/>
      <w:r w:rsidRPr="00E34E46">
        <w:t>Assessing</w:t>
      </w:r>
      <w:proofErr w:type="spellEnd"/>
      <w:r w:rsidRPr="00E34E46">
        <w:t xml:space="preserve"> and </w:t>
      </w:r>
      <w:proofErr w:type="spellStart"/>
      <w:r w:rsidRPr="00E34E46">
        <w:t>measuring</w:t>
      </w:r>
      <w:proofErr w:type="spellEnd"/>
      <w:r w:rsidRPr="00E34E46">
        <w:t xml:space="preserve"> social value » dans </w:t>
      </w:r>
      <w:r w:rsidRPr="00E34E46">
        <w:rPr>
          <w:i/>
        </w:rPr>
        <w:t xml:space="preserve">Social Procurement and New Public </w:t>
      </w:r>
      <w:proofErr w:type="spellStart"/>
      <w:r w:rsidRPr="00E34E46">
        <w:rPr>
          <w:i/>
        </w:rPr>
        <w:t>Governance</w:t>
      </w:r>
      <w:proofErr w:type="spellEnd"/>
      <w:r w:rsidRPr="00E34E46">
        <w:t xml:space="preserve"> (1</w:t>
      </w:r>
      <w:r w:rsidRPr="00E34E46">
        <w:rPr>
          <w:vertAlign w:val="superscript"/>
        </w:rPr>
        <w:t>re</w:t>
      </w:r>
      <w:r w:rsidRPr="00E34E46">
        <w:t xml:space="preserve"> éd., p. 18). Routledge. En ligne : </w:t>
      </w:r>
      <w:hyperlink r:id="rId21" w:history="1">
        <w:r w:rsidRPr="00E34E46">
          <w:rPr>
            <w:rStyle w:val="Hyperlink"/>
          </w:rPr>
          <w:t>https://www-taylorfrancis-com.alumniproxy.library.ualberta.ca/chapters/mono/10.4324/9780203797532-7/assessing-measuring-social-value-jo-barraket-robyn-keast-</w:t>
        </w:r>
        <w:r w:rsidRPr="00E34E46">
          <w:rPr>
            <w:rStyle w:val="Hyperlink"/>
          </w:rPr>
          <w:lastRenderedPageBreak/>
          <w:t>craig-furneaux?context=ubx&amp;refId=2fcaebe3-57e8-465e-9757-0f7d37b2a2aa</w:t>
        </w:r>
      </w:hyperlink>
    </w:p>
    <w:p w14:paraId="505CC0DB" w14:textId="77777777" w:rsidR="009C026F" w:rsidRPr="00E34E46" w:rsidRDefault="009C026F" w:rsidP="005243E8">
      <w:pPr>
        <w:pStyle w:val="APABibliography"/>
      </w:pPr>
      <w:r w:rsidRPr="00E34E46">
        <w:t xml:space="preserve">Blome, C., K. </w:t>
      </w:r>
      <w:proofErr w:type="spellStart"/>
      <w:r w:rsidRPr="00E34E46">
        <w:t>Foerstl</w:t>
      </w:r>
      <w:proofErr w:type="spellEnd"/>
      <w:r w:rsidRPr="00E34E46">
        <w:t xml:space="preserve"> et M.C. Schleper. (2017). « </w:t>
      </w:r>
      <w:proofErr w:type="spellStart"/>
      <w:r w:rsidRPr="00E34E46">
        <w:t>Antecedents</w:t>
      </w:r>
      <w:proofErr w:type="spellEnd"/>
      <w:r w:rsidRPr="00E34E46">
        <w:t xml:space="preserve"> of green supplier </w:t>
      </w:r>
      <w:proofErr w:type="spellStart"/>
      <w:r w:rsidRPr="00E34E46">
        <w:t>championing</w:t>
      </w:r>
      <w:proofErr w:type="spellEnd"/>
      <w:r w:rsidRPr="00E34E46">
        <w:t xml:space="preserve"> and greenwashing: An </w:t>
      </w:r>
      <w:proofErr w:type="spellStart"/>
      <w:r w:rsidRPr="00E34E46">
        <w:t>empirical</w:t>
      </w:r>
      <w:proofErr w:type="spellEnd"/>
      <w:r w:rsidRPr="00E34E46">
        <w:t xml:space="preserve"> </w:t>
      </w:r>
      <w:proofErr w:type="spellStart"/>
      <w:r w:rsidRPr="00E34E46">
        <w:t>study</w:t>
      </w:r>
      <w:proofErr w:type="spellEnd"/>
      <w:r w:rsidRPr="00E34E46">
        <w:t xml:space="preserve"> on leadership and </w:t>
      </w:r>
      <w:proofErr w:type="spellStart"/>
      <w:r w:rsidRPr="00E34E46">
        <w:t>ethical</w:t>
      </w:r>
      <w:proofErr w:type="spellEnd"/>
      <w:r w:rsidRPr="00E34E46">
        <w:t xml:space="preserve"> </w:t>
      </w:r>
      <w:proofErr w:type="spellStart"/>
      <w:r w:rsidRPr="00E34E46">
        <w:t>incentives</w:t>
      </w:r>
      <w:proofErr w:type="spellEnd"/>
      <w:r w:rsidRPr="00E34E46">
        <w:t xml:space="preserve"> » dans </w:t>
      </w:r>
      <w:r w:rsidRPr="00E34E46">
        <w:rPr>
          <w:i/>
        </w:rPr>
        <w:t>Journal of Cleaner Production</w:t>
      </w:r>
      <w:r w:rsidRPr="00E34E46">
        <w:t xml:space="preserve">, </w:t>
      </w:r>
      <w:r w:rsidRPr="00E34E46">
        <w:rPr>
          <w:i/>
        </w:rPr>
        <w:t>152</w:t>
      </w:r>
      <w:r w:rsidRPr="00E34E46">
        <w:t xml:space="preserve">, p. 339-350. En ligne : </w:t>
      </w:r>
      <w:hyperlink r:id="rId22" w:history="1">
        <w:r w:rsidRPr="00E34E46">
          <w:rPr>
            <w:rStyle w:val="Hyperlink"/>
          </w:rPr>
          <w:t>https://doi.org/10.1016/j.jclepro.2017.03.052</w:t>
        </w:r>
      </w:hyperlink>
    </w:p>
    <w:p w14:paraId="115F7B36" w14:textId="77777777" w:rsidR="009C026F" w:rsidRPr="00E34E46" w:rsidRDefault="009C026F" w:rsidP="005243E8">
      <w:pPr>
        <w:pStyle w:val="APABibliography"/>
      </w:pPr>
      <w:r w:rsidRPr="00E34E46">
        <w:t xml:space="preserve">BOA. (2022). </w:t>
      </w:r>
      <w:r w:rsidRPr="00E34E46">
        <w:rPr>
          <w:i/>
        </w:rPr>
        <w:t>Rapport annuel de l’ombudsman de l’approvisionnement 2021-2022 : Évoluer en tandem</w:t>
      </w:r>
      <w:r w:rsidRPr="00E34E46">
        <w:t xml:space="preserve"> (p. 48). Bureau de l’ombudsman de l’approvisionnement, gouvernement du Canada. En ligne : </w:t>
      </w:r>
      <w:hyperlink r:id="rId23" w:history="1">
        <w:r w:rsidRPr="00E34E46">
          <w:rPr>
            <w:rStyle w:val="Hyperlink"/>
          </w:rPr>
          <w:t>https://opo-boa.gc.ca/documents/rapports-reports/2021-2022/annuel-annual-2021-2022-fra.pdf</w:t>
        </w:r>
      </w:hyperlink>
    </w:p>
    <w:p w14:paraId="17067E71" w14:textId="470F20A2" w:rsidR="009C026F" w:rsidRPr="00E34E46" w:rsidRDefault="009C026F" w:rsidP="005243E8">
      <w:pPr>
        <w:pStyle w:val="APABibliography"/>
        <w:rPr>
          <w:u w:val="single"/>
        </w:rPr>
      </w:pPr>
      <w:r w:rsidRPr="00E34E46">
        <w:t xml:space="preserve">BOA. (2023). </w:t>
      </w:r>
      <w:r w:rsidRPr="00E34E46">
        <w:rPr>
          <w:i/>
        </w:rPr>
        <w:t>Programmes de marchés réservés</w:t>
      </w:r>
      <w:r w:rsidRPr="00E34E46">
        <w:t xml:space="preserve"> [Analyse juridictionnelle]. Bureau de l’</w:t>
      </w:r>
      <w:proofErr w:type="spellStart"/>
      <w:r w:rsidRPr="00E34E46">
        <w:t>ombud</w:t>
      </w:r>
      <w:proofErr w:type="spellEnd"/>
      <w:r w:rsidRPr="00E34E46">
        <w:t xml:space="preserve"> de l’approvisionnement, gouvernement du Canada. Consulté le 15 mai 2023. En ligne : </w:t>
      </w:r>
      <w:hyperlink r:id="rId24" w:history="1">
        <w:r w:rsidRPr="00E34E46">
          <w:rPr>
            <w:rStyle w:val="Hyperlink"/>
          </w:rPr>
          <w:t>https://opo-boa.gc.ca/pmr-psp-fra.html</w:t>
        </w:r>
      </w:hyperlink>
    </w:p>
    <w:p w14:paraId="6F2D74E3" w14:textId="48BD6E4E" w:rsidR="009C026F" w:rsidRPr="00E34E46" w:rsidRDefault="009C026F" w:rsidP="005243E8">
      <w:pPr>
        <w:pStyle w:val="APABibliography"/>
      </w:pPr>
      <w:r w:rsidRPr="00E34E46">
        <w:lastRenderedPageBreak/>
        <w:t>Boyle, R. (2009). « </w:t>
      </w:r>
      <w:proofErr w:type="spellStart"/>
      <w:r w:rsidRPr="00E34E46">
        <w:t>Disability</w:t>
      </w:r>
      <w:proofErr w:type="spellEnd"/>
      <w:r w:rsidRPr="00E34E46">
        <w:t xml:space="preserve"> issues in public </w:t>
      </w:r>
      <w:proofErr w:type="spellStart"/>
      <w:r w:rsidRPr="00E34E46">
        <w:t>procurement</w:t>
      </w:r>
      <w:proofErr w:type="spellEnd"/>
      <w:r w:rsidRPr="00E34E46">
        <w:t xml:space="preserve"> » dans </w:t>
      </w:r>
      <w:proofErr w:type="spellStart"/>
      <w:r w:rsidRPr="00E34E46">
        <w:t>Kunzlik</w:t>
      </w:r>
      <w:proofErr w:type="spellEnd"/>
      <w:r w:rsidRPr="00E34E46">
        <w:t xml:space="preserve">, P. et S. Arrowsmith (éd.), </w:t>
      </w:r>
      <w:r w:rsidRPr="00E34E46">
        <w:rPr>
          <w:i/>
        </w:rPr>
        <w:t xml:space="preserve">Social and </w:t>
      </w:r>
      <w:proofErr w:type="spellStart"/>
      <w:r w:rsidRPr="00E34E46">
        <w:rPr>
          <w:i/>
        </w:rPr>
        <w:t>Environmental</w:t>
      </w:r>
      <w:proofErr w:type="spellEnd"/>
      <w:r w:rsidRPr="00E34E46">
        <w:rPr>
          <w:i/>
        </w:rPr>
        <w:t xml:space="preserve"> </w:t>
      </w:r>
      <w:proofErr w:type="spellStart"/>
      <w:r w:rsidRPr="00E34E46">
        <w:rPr>
          <w:i/>
        </w:rPr>
        <w:t>Policies</w:t>
      </w:r>
      <w:proofErr w:type="spellEnd"/>
      <w:r w:rsidRPr="00E34E46">
        <w:rPr>
          <w:i/>
        </w:rPr>
        <w:t xml:space="preserve"> in EC Procurement Law: New Directives and New Directions</w:t>
      </w:r>
      <w:r w:rsidRPr="00E34E46">
        <w:t xml:space="preserve">, p. 310-344. Cambridge </w:t>
      </w:r>
      <w:proofErr w:type="spellStart"/>
      <w:r w:rsidRPr="00E34E46">
        <w:t>University</w:t>
      </w:r>
      <w:proofErr w:type="spellEnd"/>
      <w:r w:rsidRPr="00E34E46">
        <w:t xml:space="preserve"> Press. En ligne : </w:t>
      </w:r>
      <w:hyperlink r:id="rId25" w:history="1">
        <w:r w:rsidRPr="00E34E46">
          <w:rPr>
            <w:rStyle w:val="Hyperlink"/>
          </w:rPr>
          <w:t>https://doi.org/10.1017/CBO9780511576041.010</w:t>
        </w:r>
      </w:hyperlink>
    </w:p>
    <w:p w14:paraId="3DEA1F60" w14:textId="0CE23034" w:rsidR="009C026F" w:rsidRPr="00E34E46" w:rsidRDefault="009C026F" w:rsidP="005243E8">
      <w:pPr>
        <w:pStyle w:val="APABibliography"/>
      </w:pPr>
      <w:r w:rsidRPr="00E34E46">
        <w:t xml:space="preserve">Brunet, M. et G. </w:t>
      </w:r>
      <w:proofErr w:type="spellStart"/>
      <w:r w:rsidRPr="00E34E46">
        <w:t>Jobidon</w:t>
      </w:r>
      <w:proofErr w:type="spellEnd"/>
      <w:r w:rsidRPr="00E34E46">
        <w:t>. (2024). « </w:t>
      </w:r>
      <w:r w:rsidRPr="00E34E46">
        <w:rPr>
          <w:noProof/>
        </w:rPr>
        <w:t>New frontiers in delivering public infrastructure</w:t>
      </w:r>
      <w:r w:rsidRPr="00E34E46">
        <w:t xml:space="preserve"> » dans </w:t>
      </w:r>
      <w:r w:rsidRPr="00E34E46">
        <w:rPr>
          <w:i/>
        </w:rPr>
        <w:t>Canadian Public Administration</w:t>
      </w:r>
      <w:r w:rsidRPr="00E34E46">
        <w:t xml:space="preserve">, </w:t>
      </w:r>
      <w:r w:rsidRPr="00E34E46">
        <w:rPr>
          <w:i/>
        </w:rPr>
        <w:t>67</w:t>
      </w:r>
      <w:r w:rsidRPr="00E34E46">
        <w:t xml:space="preserve">(1), p. 130-140. En ligne : </w:t>
      </w:r>
      <w:hyperlink r:id="rId26" w:history="1">
        <w:r w:rsidRPr="00E34E46">
          <w:rPr>
            <w:rStyle w:val="Hyperlink"/>
          </w:rPr>
          <w:t>https://doi.org/10.1111/capa.12553</w:t>
        </w:r>
      </w:hyperlink>
    </w:p>
    <w:p w14:paraId="59C289E7" w14:textId="77777777" w:rsidR="009C026F" w:rsidRPr="00E34E46" w:rsidRDefault="009C026F" w:rsidP="005243E8">
      <w:pPr>
        <w:pStyle w:val="APABibliography"/>
      </w:pPr>
      <w:r w:rsidRPr="00E34E46">
        <w:t xml:space="preserve">Burgstahler, S. (2021). </w:t>
      </w:r>
      <w:r w:rsidRPr="00E34E46">
        <w:rPr>
          <w:i/>
        </w:rPr>
        <w:t>Universal Design: Process, Principles, and Applications</w:t>
      </w:r>
      <w:r w:rsidRPr="00E34E46">
        <w:t xml:space="preserve">. </w:t>
      </w:r>
      <w:proofErr w:type="spellStart"/>
      <w:r w:rsidRPr="00E34E46">
        <w:t>University</w:t>
      </w:r>
      <w:proofErr w:type="spellEnd"/>
      <w:r w:rsidRPr="00E34E46">
        <w:t xml:space="preserve"> of Washington. En ligne : </w:t>
      </w:r>
      <w:hyperlink r:id="rId27" w:history="1">
        <w:r w:rsidRPr="00E34E46">
          <w:rPr>
            <w:rStyle w:val="Hyperlink"/>
          </w:rPr>
          <w:t>https://www.washington.edu/doit/universal-design-process-principles-and-applications</w:t>
        </w:r>
      </w:hyperlink>
    </w:p>
    <w:p w14:paraId="17314F91" w14:textId="77777777" w:rsidR="009C026F" w:rsidRPr="00E34E46" w:rsidRDefault="009C026F" w:rsidP="005243E8">
      <w:pPr>
        <w:pStyle w:val="APABibliography"/>
      </w:pPr>
      <w:r w:rsidRPr="00E34E46">
        <w:t xml:space="preserve">CEN, CENELEC et ETSI, (2021). </w:t>
      </w:r>
      <w:proofErr w:type="spellStart"/>
      <w:r w:rsidRPr="00E34E46">
        <w:rPr>
          <w:i/>
        </w:rPr>
        <w:t>Accessibility</w:t>
      </w:r>
      <w:proofErr w:type="spellEnd"/>
      <w:r w:rsidRPr="00E34E46">
        <w:rPr>
          <w:i/>
        </w:rPr>
        <w:t xml:space="preserve"> </w:t>
      </w:r>
      <w:proofErr w:type="spellStart"/>
      <w:r w:rsidRPr="00E34E46">
        <w:rPr>
          <w:i/>
        </w:rPr>
        <w:t>requirements</w:t>
      </w:r>
      <w:proofErr w:type="spellEnd"/>
      <w:r w:rsidRPr="00E34E46">
        <w:rPr>
          <w:i/>
        </w:rPr>
        <w:t xml:space="preserve"> for ICT </w:t>
      </w:r>
      <w:proofErr w:type="spellStart"/>
      <w:r w:rsidRPr="00E34E46">
        <w:rPr>
          <w:i/>
        </w:rPr>
        <w:t>products</w:t>
      </w:r>
      <w:proofErr w:type="spellEnd"/>
      <w:r w:rsidRPr="00E34E46">
        <w:rPr>
          <w:i/>
        </w:rPr>
        <w:t xml:space="preserve"> and services: </w:t>
      </w:r>
      <w:proofErr w:type="spellStart"/>
      <w:r w:rsidRPr="00E34E46">
        <w:rPr>
          <w:i/>
        </w:rPr>
        <w:t>Harmonised</w:t>
      </w:r>
      <w:proofErr w:type="spellEnd"/>
      <w:r w:rsidRPr="00E34E46">
        <w:rPr>
          <w:i/>
        </w:rPr>
        <w:t xml:space="preserve"> </w:t>
      </w:r>
      <w:proofErr w:type="spellStart"/>
      <w:r w:rsidRPr="00E34E46">
        <w:rPr>
          <w:i/>
        </w:rPr>
        <w:t>European</w:t>
      </w:r>
      <w:proofErr w:type="spellEnd"/>
      <w:r w:rsidRPr="00E34E46">
        <w:rPr>
          <w:i/>
        </w:rPr>
        <w:t xml:space="preserve"> Standard</w:t>
      </w:r>
      <w:r w:rsidRPr="00E34E46">
        <w:t xml:space="preserve">. En ligne : </w:t>
      </w:r>
      <w:hyperlink r:id="rId28" w:tgtFrame="_blank" w:history="1">
        <w:r w:rsidRPr="00E34E46">
          <w:rPr>
            <w:rStyle w:val="Hyperlink"/>
          </w:rPr>
          <w:t>https://www.etsi.org/deliver/etsi_en/301500_301599/301549/03.02.01_60/en_301549v030201p.pdf</w:t>
        </w:r>
      </w:hyperlink>
      <w:r w:rsidRPr="00E34E46">
        <w:t> </w:t>
      </w:r>
    </w:p>
    <w:p w14:paraId="59C62FB0" w14:textId="77777777" w:rsidR="009C026F" w:rsidRPr="00E34E46" w:rsidRDefault="009C026F" w:rsidP="00CF018E">
      <w:pPr>
        <w:pStyle w:val="APABibliography"/>
        <w:ind w:left="0" w:firstLine="0"/>
      </w:pPr>
      <w:r w:rsidRPr="00E34E46">
        <w:lastRenderedPageBreak/>
        <w:t xml:space="preserve">CEUD. (2024). </w:t>
      </w:r>
      <w:r w:rsidRPr="00E34E46">
        <w:rPr>
          <w:i/>
        </w:rPr>
        <w:t>About Universal Design</w:t>
      </w:r>
      <w:r w:rsidRPr="00E34E46">
        <w:t xml:space="preserve">. Centre of Excellence in Universal Design, Irlande. En ligne : </w:t>
      </w:r>
      <w:hyperlink r:id="rId29" w:history="1">
        <w:r w:rsidRPr="00E34E46">
          <w:rPr>
            <w:rStyle w:val="Hyperlink"/>
          </w:rPr>
          <w:t>https://universaldesign.ie/about-universal-design</w:t>
        </w:r>
      </w:hyperlink>
    </w:p>
    <w:p w14:paraId="23204DC1" w14:textId="2A63B262" w:rsidR="009C026F" w:rsidRPr="00E34E46" w:rsidRDefault="009C026F" w:rsidP="005243E8">
      <w:pPr>
        <w:pStyle w:val="APABibliography"/>
        <w:rPr>
          <w:rFonts w:cs="Times New Roman"/>
        </w:rPr>
      </w:pPr>
      <w:r w:rsidRPr="00E34E46">
        <w:t xml:space="preserve">Commission européenne. (2019). </w:t>
      </w:r>
      <w:r w:rsidRPr="00E34E46">
        <w:rPr>
          <w:i/>
        </w:rPr>
        <w:t>Loi européenne sur l’accessibilité</w:t>
      </w:r>
      <w:r w:rsidRPr="00E34E46">
        <w:t xml:space="preserve">. En ligne : </w:t>
      </w:r>
      <w:hyperlink r:id="rId30" w:anchor=":~:text=The%20European%20accessibility%20act%20is,EU%20leading%20to%20costs%20reduction" w:tgtFrame="_blank" w:history="1">
        <w:r w:rsidRPr="00E34E46">
          <w:rPr>
            <w:rStyle w:val="Hyperlink"/>
          </w:rPr>
          <w:t>https://ec.europa.eu/social/main.jsp?catId=1202#:~:text=The%20European%20accessibility%20act%20is,EU%20leading%20to%20costs%20reduction</w:t>
        </w:r>
      </w:hyperlink>
    </w:p>
    <w:p w14:paraId="29539E49" w14:textId="5EC1B755" w:rsidR="009C026F" w:rsidRPr="00E34E46" w:rsidRDefault="009C026F" w:rsidP="005243E8">
      <w:pPr>
        <w:pStyle w:val="APABibliography"/>
      </w:pPr>
      <w:r w:rsidRPr="00E34E46">
        <w:t>Conseil national de la recherche du Canada. (</w:t>
      </w:r>
      <w:proofErr w:type="gramStart"/>
      <w:r w:rsidRPr="00E34E46">
        <w:t>s.</w:t>
      </w:r>
      <w:proofErr w:type="gramEnd"/>
      <w:r w:rsidRPr="00E34E46">
        <w:t xml:space="preserve"> d.). </w:t>
      </w:r>
      <w:r w:rsidRPr="00E34E46">
        <w:rPr>
          <w:i/>
          <w:iCs/>
        </w:rPr>
        <w:t>Le travail forcé et le travail des enfants dans les chaînes d’approvisionnement canadiennes : Rapport annuel 2023-2024</w:t>
      </w:r>
      <w:r w:rsidRPr="00E34E46">
        <w:rPr>
          <w:i/>
        </w:rPr>
        <w:t xml:space="preserve">. </w:t>
      </w:r>
      <w:r w:rsidRPr="00E34E46">
        <w:t xml:space="preserve">Gouvernement du Canada. En ligne : </w:t>
      </w:r>
      <w:hyperlink r:id="rId31" w:history="1">
        <w:r w:rsidRPr="00E34E46">
          <w:rPr>
            <w:rStyle w:val="Hyperlink"/>
          </w:rPr>
          <w:t>https://www.canada.ca/fr/services-publics-approvisionnement/organisation/transparence/rapport-annuel-prevention-travail-force-chaines-approvisionnement/2023-2024.html</w:t>
        </w:r>
      </w:hyperlink>
    </w:p>
    <w:p w14:paraId="07EC20B4" w14:textId="0962445C" w:rsidR="009C026F" w:rsidRPr="00E34E46" w:rsidRDefault="009C026F" w:rsidP="005243E8">
      <w:pPr>
        <w:pStyle w:val="APABibliography"/>
      </w:pPr>
      <w:r w:rsidRPr="00E34E46">
        <w:t>Cravero, C. (2017). « </w:t>
      </w:r>
      <w:proofErr w:type="spellStart"/>
      <w:r w:rsidRPr="00E34E46">
        <w:t>Socially</w:t>
      </w:r>
      <w:proofErr w:type="spellEnd"/>
      <w:r w:rsidRPr="00E34E46">
        <w:t xml:space="preserve"> </w:t>
      </w:r>
      <w:proofErr w:type="spellStart"/>
      <w:r w:rsidRPr="00E34E46">
        <w:t>Responsible</w:t>
      </w:r>
      <w:proofErr w:type="spellEnd"/>
      <w:r w:rsidRPr="00E34E46">
        <w:t xml:space="preserve"> Public Procurement and Set-</w:t>
      </w:r>
      <w:proofErr w:type="spellStart"/>
      <w:r w:rsidRPr="00E34E46">
        <w:t>Asides</w:t>
      </w:r>
      <w:proofErr w:type="spellEnd"/>
      <w:r w:rsidRPr="00E34E46">
        <w:t xml:space="preserve">: A Comparative </w:t>
      </w:r>
      <w:proofErr w:type="spellStart"/>
      <w:r w:rsidRPr="00E34E46">
        <w:t>Analysis</w:t>
      </w:r>
      <w:proofErr w:type="spellEnd"/>
      <w:r w:rsidRPr="00E34E46">
        <w:t xml:space="preserve"> of the US, Canada and the EU » dans </w:t>
      </w:r>
      <w:proofErr w:type="spellStart"/>
      <w:r w:rsidRPr="00E34E46">
        <w:rPr>
          <w:i/>
        </w:rPr>
        <w:t>Arctic</w:t>
      </w:r>
      <w:proofErr w:type="spellEnd"/>
      <w:r w:rsidRPr="00E34E46">
        <w:rPr>
          <w:i/>
        </w:rPr>
        <w:t xml:space="preserve"> </w:t>
      </w:r>
      <w:proofErr w:type="spellStart"/>
      <w:r w:rsidRPr="00E34E46">
        <w:rPr>
          <w:i/>
        </w:rPr>
        <w:t>Review</w:t>
      </w:r>
      <w:proofErr w:type="spellEnd"/>
      <w:r w:rsidRPr="00E34E46">
        <w:rPr>
          <w:i/>
        </w:rPr>
        <w:t xml:space="preserve"> on Law and </w:t>
      </w:r>
      <w:proofErr w:type="spellStart"/>
      <w:r w:rsidRPr="00E34E46">
        <w:rPr>
          <w:i/>
        </w:rPr>
        <w:t>Politics</w:t>
      </w:r>
      <w:proofErr w:type="spellEnd"/>
      <w:r w:rsidRPr="00E34E46">
        <w:t xml:space="preserve">, </w:t>
      </w:r>
      <w:r w:rsidRPr="00E34E46">
        <w:rPr>
          <w:i/>
        </w:rPr>
        <w:t>8</w:t>
      </w:r>
      <w:r w:rsidRPr="00E34E46">
        <w:t xml:space="preserve">. En ligne : </w:t>
      </w:r>
      <w:hyperlink r:id="rId32" w:history="1">
        <w:r w:rsidRPr="00E34E46">
          <w:rPr>
            <w:rStyle w:val="Hyperlink"/>
          </w:rPr>
          <w:t>https://doi.org/10.23865/arctic.v8.739</w:t>
        </w:r>
      </w:hyperlink>
    </w:p>
    <w:p w14:paraId="08AF4620" w14:textId="19337163" w:rsidR="009C026F" w:rsidRPr="00E34E46" w:rsidRDefault="009C026F" w:rsidP="005243E8">
      <w:pPr>
        <w:pStyle w:val="APABibliography"/>
      </w:pPr>
      <w:r w:rsidRPr="00E34E46">
        <w:lastRenderedPageBreak/>
        <w:t xml:space="preserve">Crisan, D. (2020). </w:t>
      </w:r>
      <w:proofErr w:type="spellStart"/>
      <w:r w:rsidRPr="00E34E46">
        <w:rPr>
          <w:i/>
        </w:rPr>
        <w:t>Buying</w:t>
      </w:r>
      <w:proofErr w:type="spellEnd"/>
      <w:r w:rsidRPr="00E34E46">
        <w:rPr>
          <w:i/>
        </w:rPr>
        <w:t xml:space="preserve"> </w:t>
      </w:r>
      <w:proofErr w:type="spellStart"/>
      <w:r w:rsidRPr="00E34E46">
        <w:rPr>
          <w:i/>
        </w:rPr>
        <w:t>with</w:t>
      </w:r>
      <w:proofErr w:type="spellEnd"/>
      <w:r w:rsidRPr="00E34E46">
        <w:rPr>
          <w:i/>
        </w:rPr>
        <w:t xml:space="preserve"> Intent: Public Procurement for Innovation by Provincial and Municipal </w:t>
      </w:r>
      <w:proofErr w:type="spellStart"/>
      <w:r w:rsidRPr="00E34E46">
        <w:rPr>
          <w:i/>
        </w:rPr>
        <w:t>Governments</w:t>
      </w:r>
      <w:proofErr w:type="spellEnd"/>
      <w:r w:rsidRPr="00E34E46">
        <w:t xml:space="preserve"> (School of Public Policy Publications). Université de Calgary. En ligne : </w:t>
      </w:r>
      <w:hyperlink r:id="rId33" w:history="1">
        <w:r w:rsidRPr="00E34E46">
          <w:rPr>
            <w:rStyle w:val="Hyperlink"/>
          </w:rPr>
          <w:t>https://journalhosting.ucalgary.ca/index.php/sppp/article/view/69277/54206</w:t>
        </w:r>
      </w:hyperlink>
    </w:p>
    <w:p w14:paraId="4721FDF6" w14:textId="77777777" w:rsidR="009C026F" w:rsidRPr="00E34E46" w:rsidRDefault="009C026F" w:rsidP="005243E8">
      <w:pPr>
        <w:pStyle w:val="APABibliography"/>
      </w:pPr>
      <w:r w:rsidRPr="00E34E46">
        <w:t xml:space="preserve">CSA, Association canadienne de normalisation. (2020). </w:t>
      </w:r>
      <w:r w:rsidRPr="00E34E46">
        <w:rPr>
          <w:i/>
        </w:rPr>
        <w:t>CSA Z1011:20 – Système de gestion d’incapacité au travail</w:t>
      </w:r>
      <w:r w:rsidRPr="00E34E46">
        <w:t xml:space="preserve">. En ligne : </w:t>
      </w:r>
      <w:hyperlink r:id="rId34" w:history="1">
        <w:r w:rsidRPr="00E34E46">
          <w:rPr>
            <w:rStyle w:val="Hyperlink"/>
          </w:rPr>
          <w:t>https://www.csagroup.org/fr/store/product/CSA%20Z1011:20/</w:t>
        </w:r>
      </w:hyperlink>
    </w:p>
    <w:p w14:paraId="7E189304" w14:textId="7194C094" w:rsidR="009C026F" w:rsidRPr="00E34E46" w:rsidRDefault="009C026F" w:rsidP="005243E8">
      <w:pPr>
        <w:pStyle w:val="APABibliography"/>
      </w:pPr>
      <w:r w:rsidRPr="00E34E46">
        <w:t>Da Ponte, M., M. Foley et C.H. Cho. (2020). « </w:t>
      </w:r>
      <w:proofErr w:type="spellStart"/>
      <w:r w:rsidRPr="00E34E46">
        <w:t>Assessing</w:t>
      </w:r>
      <w:proofErr w:type="spellEnd"/>
      <w:r w:rsidRPr="00E34E46">
        <w:t xml:space="preserve"> the Degree of </w:t>
      </w:r>
      <w:proofErr w:type="spellStart"/>
      <w:r w:rsidRPr="00E34E46">
        <w:t>Sustainability</w:t>
      </w:r>
      <w:proofErr w:type="spellEnd"/>
      <w:r w:rsidRPr="00E34E46">
        <w:t xml:space="preserve"> </w:t>
      </w:r>
      <w:proofErr w:type="spellStart"/>
      <w:r w:rsidRPr="00E34E46">
        <w:t>Integration</w:t>
      </w:r>
      <w:proofErr w:type="spellEnd"/>
      <w:r w:rsidRPr="00E34E46">
        <w:t xml:space="preserve"> in Canadian Public </w:t>
      </w:r>
      <w:proofErr w:type="spellStart"/>
      <w:r w:rsidRPr="00E34E46">
        <w:t>Sector</w:t>
      </w:r>
      <w:proofErr w:type="spellEnd"/>
      <w:r w:rsidRPr="00E34E46">
        <w:t xml:space="preserve"> Procurement » dans </w:t>
      </w:r>
      <w:proofErr w:type="spellStart"/>
      <w:r w:rsidRPr="00E34E46">
        <w:rPr>
          <w:i/>
        </w:rPr>
        <w:t>Sustainability</w:t>
      </w:r>
      <w:proofErr w:type="spellEnd"/>
      <w:r w:rsidRPr="00E34E46">
        <w:t xml:space="preserve">, </w:t>
      </w:r>
      <w:r w:rsidRPr="00E34E46">
        <w:rPr>
          <w:i/>
        </w:rPr>
        <w:t>12</w:t>
      </w:r>
      <w:r w:rsidRPr="00E34E46">
        <w:t xml:space="preserve">(14). En ligne : </w:t>
      </w:r>
      <w:hyperlink r:id="rId35" w:history="1">
        <w:r w:rsidRPr="00E34E46">
          <w:rPr>
            <w:rStyle w:val="Hyperlink"/>
          </w:rPr>
          <w:t>https://doi.org/10.3390/su12145550</w:t>
        </w:r>
      </w:hyperlink>
    </w:p>
    <w:p w14:paraId="0FCCF9B1" w14:textId="77777777" w:rsidR="009C026F" w:rsidRPr="00E34E46" w:rsidRDefault="009C026F" w:rsidP="009C026F">
      <w:pPr>
        <w:pStyle w:val="APABibliography"/>
      </w:pPr>
      <w:r w:rsidRPr="00E34E46">
        <w:t xml:space="preserve">DAESNU. (2024). </w:t>
      </w:r>
      <w:r w:rsidRPr="00E34E46">
        <w:rPr>
          <w:i/>
          <w:iCs/>
        </w:rPr>
        <w:t xml:space="preserve">SDG </w:t>
      </w:r>
      <w:proofErr w:type="spellStart"/>
      <w:r w:rsidRPr="00E34E46">
        <w:rPr>
          <w:i/>
          <w:iCs/>
        </w:rPr>
        <w:t>Indicators</w:t>
      </w:r>
      <w:proofErr w:type="spellEnd"/>
      <w:r w:rsidRPr="00E34E46">
        <w:rPr>
          <w:i/>
          <w:iCs/>
        </w:rPr>
        <w:t xml:space="preserve"> </w:t>
      </w:r>
      <w:proofErr w:type="spellStart"/>
      <w:r w:rsidRPr="00E34E46">
        <w:rPr>
          <w:i/>
          <w:iCs/>
        </w:rPr>
        <w:t>Database</w:t>
      </w:r>
      <w:proofErr w:type="spellEnd"/>
      <w:r w:rsidRPr="00E34E46">
        <w:rPr>
          <w:i/>
          <w:iCs/>
        </w:rPr>
        <w:t>. Data Query: SDG 12.7.1, Canada, Years 2020 and 2022</w:t>
      </w:r>
      <w:r w:rsidRPr="00E34E46">
        <w:t xml:space="preserve">. Département des affaires économiques et sociales des Nations Unies. Consulté le 3 octobre 2024. En ligne : </w:t>
      </w:r>
      <w:hyperlink r:id="rId36" w:history="1">
        <w:r w:rsidRPr="00E34E46">
          <w:rPr>
            <w:rStyle w:val="Hyperlink"/>
          </w:rPr>
          <w:t>https://unstats.un.org/sdgs/dataportal/database</w:t>
        </w:r>
      </w:hyperlink>
    </w:p>
    <w:p w14:paraId="4593AAE1" w14:textId="77777777" w:rsidR="009C026F" w:rsidRPr="00E34E46" w:rsidRDefault="009C026F" w:rsidP="009C026F">
      <w:pPr>
        <w:pStyle w:val="APABibliography"/>
        <w:rPr>
          <w:rFonts w:cs="Times New Roman"/>
          <w:color w:val="467886" w:themeColor="hyperlink"/>
          <w:u w:val="single"/>
        </w:rPr>
      </w:pPr>
      <w:r w:rsidRPr="00E34E46">
        <w:lastRenderedPageBreak/>
        <w:t xml:space="preserve">DAESNU. (5 janvier 2022). </w:t>
      </w:r>
      <w:r w:rsidRPr="00E34E46">
        <w:rPr>
          <w:i/>
        </w:rPr>
        <w:t>Convention relative aux droits des personnes handicapées (CDPH)</w:t>
      </w:r>
      <w:r w:rsidRPr="00E34E46">
        <w:t xml:space="preserve">. Département des affaires économiques et sociales des Nations Unies. En ligne : </w:t>
      </w:r>
      <w:hyperlink r:id="rId37" w:history="1">
        <w:r w:rsidRPr="00E34E46">
          <w:rPr>
            <w:rStyle w:val="Hyperlink"/>
          </w:rPr>
          <w:t>https://www.un.org/development/desa/disabilities/convention-on-the-rights-of-persons-with-disabilities.html</w:t>
        </w:r>
      </w:hyperlink>
    </w:p>
    <w:p w14:paraId="4D0F60B0" w14:textId="77777777" w:rsidR="009C026F" w:rsidRPr="00E34E46" w:rsidRDefault="009C026F" w:rsidP="009C026F">
      <w:pPr>
        <w:pStyle w:val="APABibliography"/>
      </w:pPr>
      <w:r w:rsidRPr="00E34E46">
        <w:t>DAESNU. (</w:t>
      </w:r>
      <w:proofErr w:type="gramStart"/>
      <w:r w:rsidRPr="00E34E46">
        <w:t>s.</w:t>
      </w:r>
      <w:proofErr w:type="gramEnd"/>
      <w:r w:rsidRPr="00E34E46">
        <w:t xml:space="preserve"> d.). </w:t>
      </w:r>
      <w:r w:rsidRPr="00E34E46">
        <w:rPr>
          <w:i/>
        </w:rPr>
        <w:t xml:space="preserve">Article 9 — </w:t>
      </w:r>
      <w:proofErr w:type="spellStart"/>
      <w:r w:rsidRPr="00E34E46">
        <w:rPr>
          <w:i/>
        </w:rPr>
        <w:t>Accessibility</w:t>
      </w:r>
      <w:proofErr w:type="spellEnd"/>
      <w:r w:rsidRPr="00E34E46">
        <w:rPr>
          <w:i/>
        </w:rPr>
        <w:t xml:space="preserve"> | division for inclusive social </w:t>
      </w:r>
      <w:proofErr w:type="spellStart"/>
      <w:r w:rsidRPr="00E34E46">
        <w:rPr>
          <w:i/>
        </w:rPr>
        <w:t>development</w:t>
      </w:r>
      <w:proofErr w:type="spellEnd"/>
      <w:r w:rsidRPr="00E34E46">
        <w:rPr>
          <w:i/>
        </w:rPr>
        <w:t xml:space="preserve"> (</w:t>
      </w:r>
      <w:proofErr w:type="spellStart"/>
      <w:r w:rsidRPr="00E34E46">
        <w:rPr>
          <w:i/>
        </w:rPr>
        <w:t>Disability</w:t>
      </w:r>
      <w:proofErr w:type="spellEnd"/>
      <w:r w:rsidRPr="00E34E46">
        <w:rPr>
          <w:i/>
        </w:rPr>
        <w:t>)</w:t>
      </w:r>
      <w:r w:rsidRPr="00E34E46">
        <w:t xml:space="preserve">. Consulté le 28 mai 2024. En ligne : </w:t>
      </w:r>
      <w:hyperlink r:id="rId38" w:tgtFrame="_blank" w:history="1">
        <w:r w:rsidRPr="00E34E46">
          <w:rPr>
            <w:rStyle w:val="Hyperlink"/>
          </w:rPr>
          <w:t>https://social.desa.un.org/issues/disability/crpd/article-9-accessibility</w:t>
        </w:r>
      </w:hyperlink>
    </w:p>
    <w:p w14:paraId="61FD2FCE" w14:textId="6455D0A4" w:rsidR="009C026F" w:rsidRPr="00E34E46" w:rsidRDefault="009C026F" w:rsidP="005243E8">
      <w:pPr>
        <w:pStyle w:val="APABibliography"/>
      </w:pPr>
      <w:r w:rsidRPr="00E34E46">
        <w:t>Denny-Smith, G., M. Williams et M. Loosemore. (2020). « </w:t>
      </w:r>
      <w:proofErr w:type="spellStart"/>
      <w:r w:rsidRPr="00E34E46">
        <w:t>Assessing</w:t>
      </w:r>
      <w:proofErr w:type="spellEnd"/>
      <w:r w:rsidRPr="00E34E46">
        <w:t xml:space="preserve"> the impact of social </w:t>
      </w:r>
      <w:proofErr w:type="spellStart"/>
      <w:r w:rsidRPr="00E34E46">
        <w:t>procurement</w:t>
      </w:r>
      <w:proofErr w:type="spellEnd"/>
      <w:r w:rsidRPr="00E34E46">
        <w:t xml:space="preserve"> </w:t>
      </w:r>
      <w:proofErr w:type="spellStart"/>
      <w:r w:rsidRPr="00E34E46">
        <w:t>policies</w:t>
      </w:r>
      <w:proofErr w:type="spellEnd"/>
      <w:r w:rsidRPr="00E34E46">
        <w:t xml:space="preserve"> for </w:t>
      </w:r>
      <w:proofErr w:type="spellStart"/>
      <w:r w:rsidRPr="00E34E46">
        <w:t>Indigenous</w:t>
      </w:r>
      <w:proofErr w:type="spellEnd"/>
      <w:r w:rsidRPr="00E34E46">
        <w:t xml:space="preserve"> people » dans </w:t>
      </w:r>
      <w:r w:rsidRPr="00E34E46">
        <w:rPr>
          <w:i/>
        </w:rPr>
        <w:t xml:space="preserve">Construction Management and </w:t>
      </w:r>
      <w:proofErr w:type="spellStart"/>
      <w:r w:rsidRPr="00E34E46">
        <w:rPr>
          <w:i/>
        </w:rPr>
        <w:t>Economics</w:t>
      </w:r>
      <w:proofErr w:type="spellEnd"/>
      <w:r w:rsidRPr="00E34E46">
        <w:t xml:space="preserve">, </w:t>
      </w:r>
      <w:r w:rsidRPr="00E34E46">
        <w:rPr>
          <w:i/>
        </w:rPr>
        <w:t>38</w:t>
      </w:r>
      <w:r w:rsidRPr="00E34E46">
        <w:t xml:space="preserve">(12), p. 1139-1157. En ligne : </w:t>
      </w:r>
      <w:hyperlink r:id="rId39" w:history="1">
        <w:r w:rsidRPr="00E34E46">
          <w:rPr>
            <w:rStyle w:val="Hyperlink"/>
          </w:rPr>
          <w:t>https://doi.org/10.1080/01446193.2020.1795217</w:t>
        </w:r>
      </w:hyperlink>
    </w:p>
    <w:p w14:paraId="491FD2F1" w14:textId="77777777" w:rsidR="009C026F" w:rsidRPr="00E34E46" w:rsidRDefault="009C026F" w:rsidP="005243E8">
      <w:pPr>
        <w:pStyle w:val="APABibliography"/>
      </w:pPr>
      <w:r w:rsidRPr="00E34E46">
        <w:t xml:space="preserve">EDSC. (2023). </w:t>
      </w:r>
      <w:r w:rsidRPr="00E34E46">
        <w:rPr>
          <w:i/>
          <w:iCs/>
        </w:rPr>
        <w:t>Loi sur l’équité en matière d’emploi : Rapport annuel 2022</w:t>
      </w:r>
      <w:r w:rsidRPr="00E34E46">
        <w:t xml:space="preserve"> (Programme du travail. Emploi et Développement social Canada (EDSC), gouvernement du Canada. En ligne : </w:t>
      </w:r>
      <w:hyperlink r:id="rId40" w:anchor="h3.1.1" w:history="1">
        <w:r w:rsidRPr="00E34E46">
          <w:rPr>
            <w:rStyle w:val="Hyperlink"/>
          </w:rPr>
          <w:t>https://www.canada.ca/fr/emploi-developpement-</w:t>
        </w:r>
        <w:r w:rsidRPr="00E34E46">
          <w:rPr>
            <w:rStyle w:val="Hyperlink"/>
          </w:rPr>
          <w:lastRenderedPageBreak/>
          <w:t>social/ministere/portefeuille/travail/programmes/equite-emploi/rapports/2022-annuel.html#h3.1.1</w:t>
        </w:r>
      </w:hyperlink>
    </w:p>
    <w:p w14:paraId="64EC50F9" w14:textId="77777777" w:rsidR="009C026F" w:rsidRPr="00E34E46" w:rsidRDefault="009C026F" w:rsidP="005243E8">
      <w:pPr>
        <w:pStyle w:val="APABibliography"/>
      </w:pPr>
      <w:r w:rsidRPr="00E34E46">
        <w:t>Falloon, K.A. (2016). « </w:t>
      </w:r>
      <w:proofErr w:type="spellStart"/>
      <w:r w:rsidRPr="00E34E46">
        <w:t>Accessibility</w:t>
      </w:r>
      <w:proofErr w:type="spellEnd"/>
      <w:r w:rsidRPr="00E34E46">
        <w:t xml:space="preserve"> and Inclusion Issues in Library Acquisitions: A Guideline to </w:t>
      </w:r>
      <w:proofErr w:type="spellStart"/>
      <w:r w:rsidRPr="00E34E46">
        <w:t>Evaluating</w:t>
      </w:r>
      <w:proofErr w:type="spellEnd"/>
      <w:r w:rsidRPr="00E34E46">
        <w:t xml:space="preserve"> and Marketing the </w:t>
      </w:r>
      <w:proofErr w:type="spellStart"/>
      <w:r w:rsidRPr="00E34E46">
        <w:t>Accessibility</w:t>
      </w:r>
      <w:proofErr w:type="spellEnd"/>
      <w:r w:rsidRPr="00E34E46">
        <w:t xml:space="preserve"> of Library E-</w:t>
      </w:r>
      <w:proofErr w:type="spellStart"/>
      <w:r w:rsidRPr="00E34E46">
        <w:t>Resources</w:t>
      </w:r>
      <w:proofErr w:type="spellEnd"/>
      <w:r w:rsidRPr="00E34E46">
        <w:t xml:space="preserve"> » dans </w:t>
      </w:r>
      <w:r w:rsidRPr="00E34E46">
        <w:rPr>
          <w:i/>
        </w:rPr>
        <w:t>The International Journal of Information, Diversity, &amp; Inclusion</w:t>
      </w:r>
      <w:r w:rsidRPr="00E34E46">
        <w:t xml:space="preserve">, </w:t>
      </w:r>
      <w:r w:rsidRPr="00E34E46">
        <w:rPr>
          <w:i/>
        </w:rPr>
        <w:t>1</w:t>
      </w:r>
      <w:r w:rsidRPr="00E34E46">
        <w:t>, p. 1-16.</w:t>
      </w:r>
    </w:p>
    <w:p w14:paraId="58EB5019" w14:textId="77777777" w:rsidR="009C026F" w:rsidRPr="00E34E46" w:rsidRDefault="009C026F" w:rsidP="005243E8">
      <w:pPr>
        <w:pStyle w:val="APABibliography"/>
      </w:pPr>
      <w:r w:rsidRPr="00E34E46">
        <w:t>Falloon, K.A. et M.F. O’Reilly. (2020). « </w:t>
      </w:r>
      <w:proofErr w:type="spellStart"/>
      <w:r w:rsidRPr="00E34E46">
        <w:t>Prioritizing</w:t>
      </w:r>
      <w:proofErr w:type="spellEnd"/>
      <w:r w:rsidRPr="00E34E46">
        <w:t xml:space="preserve"> </w:t>
      </w:r>
      <w:proofErr w:type="spellStart"/>
      <w:r w:rsidRPr="00E34E46">
        <w:t>Accessibility</w:t>
      </w:r>
      <w:proofErr w:type="spellEnd"/>
      <w:r w:rsidRPr="00E34E46">
        <w:t xml:space="preserve"> in the E-</w:t>
      </w:r>
      <w:proofErr w:type="spellStart"/>
      <w:r w:rsidRPr="00E34E46">
        <w:t>Resources</w:t>
      </w:r>
      <w:proofErr w:type="spellEnd"/>
      <w:r w:rsidRPr="00E34E46">
        <w:t xml:space="preserve"> Procurement </w:t>
      </w:r>
      <w:proofErr w:type="spellStart"/>
      <w:r w:rsidRPr="00E34E46">
        <w:t>Lifecycle</w:t>
      </w:r>
      <w:proofErr w:type="spellEnd"/>
      <w:r w:rsidRPr="00E34E46">
        <w:t xml:space="preserve">: </w:t>
      </w:r>
      <w:proofErr w:type="spellStart"/>
      <w:r w:rsidRPr="00E34E46">
        <w:t>VPATs</w:t>
      </w:r>
      <w:proofErr w:type="spellEnd"/>
      <w:r w:rsidRPr="00E34E46">
        <w:t xml:space="preserve"> as a </w:t>
      </w:r>
      <w:proofErr w:type="spellStart"/>
      <w:r w:rsidRPr="00E34E46">
        <w:t>Practical</w:t>
      </w:r>
      <w:proofErr w:type="spellEnd"/>
      <w:r w:rsidRPr="00E34E46">
        <w:t xml:space="preserve"> Tool for E-Resource Acquisitions and </w:t>
      </w:r>
      <w:proofErr w:type="spellStart"/>
      <w:r w:rsidRPr="00E34E46">
        <w:t>Remediation</w:t>
      </w:r>
      <w:proofErr w:type="spellEnd"/>
      <w:r w:rsidRPr="00E34E46">
        <w:t xml:space="preserve"> Workflows at Academic </w:t>
      </w:r>
      <w:proofErr w:type="spellStart"/>
      <w:r w:rsidRPr="00E34E46">
        <w:t>Libraries</w:t>
      </w:r>
      <w:proofErr w:type="spellEnd"/>
      <w:r w:rsidRPr="00E34E46">
        <w:t xml:space="preserve"> » dans </w:t>
      </w:r>
      <w:r w:rsidRPr="00E34E46">
        <w:rPr>
          <w:i/>
        </w:rPr>
        <w:t xml:space="preserve">Serials </w:t>
      </w:r>
      <w:proofErr w:type="spellStart"/>
      <w:r w:rsidRPr="00E34E46">
        <w:rPr>
          <w:i/>
        </w:rPr>
        <w:t>Librarian</w:t>
      </w:r>
      <w:proofErr w:type="spellEnd"/>
      <w:r w:rsidRPr="00E34E46">
        <w:t xml:space="preserve">, </w:t>
      </w:r>
      <w:r w:rsidRPr="00E34E46">
        <w:rPr>
          <w:i/>
        </w:rPr>
        <w:t>78</w:t>
      </w:r>
      <w:r w:rsidRPr="00E34E46">
        <w:t>(1-4), p. 130-140.</w:t>
      </w:r>
    </w:p>
    <w:p w14:paraId="566CC1A5" w14:textId="77777777" w:rsidR="009C026F" w:rsidRPr="00E34E46" w:rsidRDefault="009C026F" w:rsidP="005243E8">
      <w:pPr>
        <w:pStyle w:val="APABibliography"/>
      </w:pPr>
      <w:r w:rsidRPr="00E34E46">
        <w:t xml:space="preserve">G3ict et Level Access. (2020). </w:t>
      </w:r>
      <w:r w:rsidRPr="00E34E46">
        <w:rPr>
          <w:i/>
        </w:rPr>
        <w:t xml:space="preserve">The State of Digital </w:t>
      </w:r>
      <w:proofErr w:type="spellStart"/>
      <w:r w:rsidRPr="00E34E46">
        <w:rPr>
          <w:i/>
        </w:rPr>
        <w:t>Accessibility</w:t>
      </w:r>
      <w:proofErr w:type="spellEnd"/>
      <w:r w:rsidRPr="00E34E46">
        <w:rPr>
          <w:i/>
        </w:rPr>
        <w:t xml:space="preserve"> 2020</w:t>
      </w:r>
      <w:r w:rsidRPr="00E34E46">
        <w:t xml:space="preserve">. Global Initiative for inclusive </w:t>
      </w:r>
      <w:proofErr w:type="spellStart"/>
      <w:r w:rsidRPr="00E34E46">
        <w:t>ICTs</w:t>
      </w:r>
      <w:proofErr w:type="spellEnd"/>
      <w:r w:rsidRPr="00E34E46">
        <w:t xml:space="preserve"> (G3ict) &amp; Level Access. En ligne : </w:t>
      </w:r>
      <w:hyperlink r:id="rId41" w:history="1">
        <w:r w:rsidRPr="00E34E46">
          <w:rPr>
            <w:rStyle w:val="Hyperlink"/>
          </w:rPr>
          <w:t>https://g3ict.org/index.php/actions/assetCount/download?id=CfoYSJFq3aX2sIOO8oHdaw9S%4077ECcjoPsGSOkJzlgQ%3D</w:t>
        </w:r>
      </w:hyperlink>
    </w:p>
    <w:p w14:paraId="254DCCBB" w14:textId="77777777" w:rsidR="009C026F" w:rsidRPr="00E34E46" w:rsidRDefault="009C026F" w:rsidP="005243E8">
      <w:pPr>
        <w:pStyle w:val="APABibliography"/>
      </w:pPr>
      <w:r w:rsidRPr="00E34E46">
        <w:t xml:space="preserve">G3Ict, Level Access et International Association of </w:t>
      </w:r>
      <w:proofErr w:type="spellStart"/>
      <w:r w:rsidRPr="00E34E46">
        <w:t>Accessibility</w:t>
      </w:r>
      <w:proofErr w:type="spellEnd"/>
      <w:r w:rsidRPr="00E34E46">
        <w:t xml:space="preserve"> Professionals IAAP. (2022). 2021 State of Digital </w:t>
      </w:r>
      <w:proofErr w:type="spellStart"/>
      <w:r w:rsidRPr="00E34E46">
        <w:t>Accessibility</w:t>
      </w:r>
      <w:proofErr w:type="spellEnd"/>
      <w:r w:rsidRPr="00E34E46">
        <w:t xml:space="preserve">. Level Access. En </w:t>
      </w:r>
      <w:r w:rsidRPr="00E34E46">
        <w:lastRenderedPageBreak/>
        <w:t xml:space="preserve">ligne : </w:t>
      </w:r>
      <w:hyperlink r:id="rId42" w:history="1">
        <w:r w:rsidRPr="00E34E46">
          <w:rPr>
            <w:rStyle w:val="Hyperlink"/>
          </w:rPr>
          <w:t>https://g3ict.org/publication/the-2021-state-of-digital-accessibility-report-for-public-sector-organizations</w:t>
        </w:r>
      </w:hyperlink>
    </w:p>
    <w:p w14:paraId="34B3EA17" w14:textId="4068FDB7" w:rsidR="009C026F" w:rsidRPr="00E34E46" w:rsidRDefault="009C026F" w:rsidP="005243E8">
      <w:pPr>
        <w:pStyle w:val="APABibliography"/>
      </w:pPr>
      <w:r w:rsidRPr="00E34E46">
        <w:t xml:space="preserve">Garvey, F. (2016). </w:t>
      </w:r>
      <w:r w:rsidRPr="00E34E46">
        <w:rPr>
          <w:i/>
        </w:rPr>
        <w:t xml:space="preserve">An </w:t>
      </w:r>
      <w:proofErr w:type="spellStart"/>
      <w:r w:rsidRPr="00E34E46">
        <w:rPr>
          <w:i/>
        </w:rPr>
        <w:t>Architect’s</w:t>
      </w:r>
      <w:proofErr w:type="spellEnd"/>
      <w:r w:rsidRPr="00E34E46">
        <w:rPr>
          <w:i/>
        </w:rPr>
        <w:t xml:space="preserve"> Guide to Public Procurement</w:t>
      </w:r>
      <w:r w:rsidRPr="00E34E46">
        <w:t xml:space="preserve"> (1</w:t>
      </w:r>
      <w:r w:rsidRPr="00E34E46">
        <w:rPr>
          <w:vertAlign w:val="superscript"/>
        </w:rPr>
        <w:t>re</w:t>
      </w:r>
      <w:r w:rsidRPr="00E34E46">
        <w:t xml:space="preserve"> éd.). RIBA </w:t>
      </w:r>
      <w:proofErr w:type="spellStart"/>
      <w:r w:rsidRPr="00E34E46">
        <w:t>Publishing</w:t>
      </w:r>
      <w:proofErr w:type="spellEnd"/>
      <w:r w:rsidRPr="00E34E46">
        <w:t xml:space="preserve">. En ligne : </w:t>
      </w:r>
      <w:hyperlink r:id="rId43" w:history="1">
        <w:r w:rsidRPr="00E34E46">
          <w:rPr>
            <w:rStyle w:val="Hyperlink"/>
          </w:rPr>
          <w:t>https://doi.org/10.4324/9780429346910</w:t>
        </w:r>
      </w:hyperlink>
    </w:p>
    <w:p w14:paraId="75284B1F" w14:textId="77777777" w:rsidR="009C026F" w:rsidRPr="00E34E46" w:rsidRDefault="009C026F" w:rsidP="005243E8">
      <w:pPr>
        <w:pStyle w:val="APABibliography"/>
      </w:pPr>
      <w:r w:rsidRPr="00E34E46">
        <w:t xml:space="preserve">Gouvernement de l’Ontario. (2005). </w:t>
      </w:r>
      <w:r w:rsidRPr="00E34E46">
        <w:rPr>
          <w:i/>
        </w:rPr>
        <w:t>Loi de 2005 sur l’accessibilité pour les personnes handicapées de l’Ontario, L.O. 2005, chap. 11</w:t>
      </w:r>
      <w:r w:rsidRPr="00E34E46">
        <w:t xml:space="preserve">. En ligne : </w:t>
      </w:r>
      <w:hyperlink r:id="rId44" w:history="1">
        <w:r w:rsidRPr="00E34E46">
          <w:rPr>
            <w:rStyle w:val="Hyperlink"/>
          </w:rPr>
          <w:t>https://www.ontario.ca/lois/loi/s05011</w:t>
        </w:r>
      </w:hyperlink>
    </w:p>
    <w:p w14:paraId="25D6CB24" w14:textId="77777777" w:rsidR="009C026F" w:rsidRPr="00E34E46" w:rsidRDefault="009C026F" w:rsidP="005243E8">
      <w:pPr>
        <w:pStyle w:val="APABibliography"/>
      </w:pPr>
      <w:r w:rsidRPr="00E34E46">
        <w:t xml:space="preserve">Gouvernement de l’Ontario. (2015). </w:t>
      </w:r>
      <w:r w:rsidRPr="00E34E46">
        <w:rPr>
          <w:i/>
        </w:rPr>
        <w:t>Règles d’accessibilité en matière d’approvisionnement</w:t>
      </w:r>
      <w:r w:rsidRPr="00E34E46">
        <w:t xml:space="preserve">. Dernière mise à jour le 31 juillet 2025. Consulté le 30 mai 2024. En ligne : </w:t>
      </w:r>
      <w:hyperlink r:id="rId45" w:tgtFrame="_blank" w:history="1">
        <w:r w:rsidRPr="00E34E46">
          <w:rPr>
            <w:rStyle w:val="Hyperlink"/>
          </w:rPr>
          <w:t>https://www.ontario.ca/fr/page/regles-daccessibilite-en-matiere-dapprovisionnement</w:t>
        </w:r>
      </w:hyperlink>
    </w:p>
    <w:p w14:paraId="3C3BE6B1" w14:textId="77777777" w:rsidR="009C026F" w:rsidRPr="00E34E46" w:rsidRDefault="009C026F" w:rsidP="005243E8">
      <w:pPr>
        <w:pStyle w:val="APABibliography"/>
      </w:pPr>
      <w:r w:rsidRPr="00E34E46">
        <w:t xml:space="preserve">Gouvernement de la Colombie-Britannique. (2018). </w:t>
      </w:r>
      <w:r w:rsidRPr="00E34E46">
        <w:rPr>
          <w:i/>
        </w:rPr>
        <w:t xml:space="preserve">British Columbia Procurement </w:t>
      </w:r>
      <w:proofErr w:type="spellStart"/>
      <w:r w:rsidRPr="00E34E46">
        <w:rPr>
          <w:i/>
        </w:rPr>
        <w:t>Strategy</w:t>
      </w:r>
      <w:proofErr w:type="spellEnd"/>
      <w:r w:rsidRPr="00E34E46">
        <w:rPr>
          <w:i/>
        </w:rPr>
        <w:t xml:space="preserve"> 2018</w:t>
      </w:r>
      <w:r w:rsidRPr="00E34E46">
        <w:t xml:space="preserve">. Ministry of </w:t>
      </w:r>
      <w:proofErr w:type="spellStart"/>
      <w:r w:rsidRPr="00E34E46">
        <w:t>Citizens</w:t>
      </w:r>
      <w:proofErr w:type="spellEnd"/>
      <w:r w:rsidRPr="00E34E46">
        <w:t xml:space="preserve">’ Services. En ligne : </w:t>
      </w:r>
      <w:hyperlink r:id="rId46" w:history="1">
        <w:r w:rsidRPr="00E34E46">
          <w:rPr>
            <w:rStyle w:val="Hyperlink"/>
          </w:rPr>
          <w:t>https://www2.gov.bc.ca/assets/gov/bc-procurement-resources/bc_procurement_strategy_2018.pdf</w:t>
        </w:r>
      </w:hyperlink>
    </w:p>
    <w:p w14:paraId="610DDA22" w14:textId="77777777" w:rsidR="009C026F" w:rsidRPr="00E34E46" w:rsidRDefault="009C026F" w:rsidP="003D1805">
      <w:pPr>
        <w:pStyle w:val="APABibliography"/>
      </w:pPr>
      <w:r w:rsidRPr="00E34E46">
        <w:t xml:space="preserve">Gouvernement de la Colombie-Britannique. (2021). </w:t>
      </w:r>
      <w:r w:rsidRPr="00E34E46">
        <w:rPr>
          <w:i/>
        </w:rPr>
        <w:t xml:space="preserve">Accessible British Columbia </w:t>
      </w:r>
      <w:proofErr w:type="spellStart"/>
      <w:r w:rsidRPr="00E34E46">
        <w:rPr>
          <w:i/>
        </w:rPr>
        <w:t>Act</w:t>
      </w:r>
      <w:proofErr w:type="spellEnd"/>
      <w:r w:rsidRPr="00E34E46">
        <w:t xml:space="preserve">. BC Laws. Consulté le 30 mai 2024. En ligne : </w:t>
      </w:r>
      <w:hyperlink r:id="rId47" w:tgtFrame="_blank" w:history="1">
        <w:r w:rsidRPr="00E34E46">
          <w:rPr>
            <w:rStyle w:val="Hyperlink"/>
          </w:rPr>
          <w:t>https://www.bclaws.gov.bc.ca/civix/document/id/complete/statreg/21019</w:t>
        </w:r>
      </w:hyperlink>
      <w:r w:rsidRPr="00E34E46">
        <w:t> </w:t>
      </w:r>
    </w:p>
    <w:p w14:paraId="6B762F47" w14:textId="24BABDD4" w:rsidR="009C026F" w:rsidRPr="00E34E46" w:rsidRDefault="009C026F" w:rsidP="00D54BF3">
      <w:pPr>
        <w:pStyle w:val="APABibliography"/>
      </w:pPr>
      <w:r w:rsidRPr="00E34E46">
        <w:t xml:space="preserve">Gouvernement du Canada. (2007). </w:t>
      </w:r>
      <w:r w:rsidRPr="00E34E46">
        <w:rPr>
          <w:i/>
          <w:iCs/>
        </w:rPr>
        <w:t>Guide d’analyse coûts-avantages pour le Canada : Propositions de réglementation</w:t>
      </w:r>
      <w:r w:rsidRPr="00E34E46">
        <w:t xml:space="preserve">. Secrétariat du Conseil du Trésor du Canada. En ligne : </w:t>
      </w:r>
      <w:hyperlink r:id="rId48" w:history="1">
        <w:r w:rsidRPr="00E34E46">
          <w:rPr>
            <w:rStyle w:val="Hyperlink"/>
          </w:rPr>
          <w:t>https://www.tbs-sct.canada.ca/rtrap-parfa/analys/analys-fra.pdf</w:t>
        </w:r>
      </w:hyperlink>
    </w:p>
    <w:p w14:paraId="3000AA55" w14:textId="77777777" w:rsidR="009C026F" w:rsidRPr="00E34E46" w:rsidRDefault="009C026F" w:rsidP="00BB5DF3">
      <w:pPr>
        <w:pStyle w:val="APABibliography"/>
      </w:pPr>
      <w:r w:rsidRPr="00E34E46">
        <w:t xml:space="preserve">Gouvernement du Canada. (2009a, 15 décembre). </w:t>
      </w:r>
      <w:r w:rsidRPr="00E34E46">
        <w:rPr>
          <w:i/>
        </w:rPr>
        <w:t>Critères d’évaluation des soumissions</w:t>
      </w:r>
      <w:r w:rsidRPr="00E34E46">
        <w:t xml:space="preserve">. Secrétariat du Conseil du Trésor du Canada. En ligne : </w:t>
      </w:r>
      <w:hyperlink r:id="rId49" w:history="1">
        <w:r w:rsidRPr="00E34E46">
          <w:rPr>
            <w:rStyle w:val="Hyperlink"/>
          </w:rPr>
          <w:t>https://www.canada.ca/fr/secretariat-conseil-tresor/organisation/organisation/services-professionnels-soutien-verification/criteres-evaluation-soumissions.html</w:t>
        </w:r>
      </w:hyperlink>
    </w:p>
    <w:p w14:paraId="24935C51" w14:textId="5C224579" w:rsidR="009C026F" w:rsidRPr="00E34E46" w:rsidRDefault="009C026F" w:rsidP="00627E0A">
      <w:pPr>
        <w:pStyle w:val="APABibliography"/>
      </w:pPr>
      <w:r w:rsidRPr="00E34E46">
        <w:t xml:space="preserve">Gouvernement du Canada. (2009b, 21 décembre). </w:t>
      </w:r>
      <w:r w:rsidRPr="00E34E46">
        <w:rPr>
          <w:i/>
        </w:rPr>
        <w:t>Types d’appels d’offres</w:t>
      </w:r>
      <w:r w:rsidRPr="00E34E46">
        <w:t xml:space="preserve">. Services publics et Approvisionnement Canada. En ligne : </w:t>
      </w:r>
      <w:hyperlink r:id="rId50" w:history="1">
        <w:r w:rsidRPr="00E34E46">
          <w:rPr>
            <w:rStyle w:val="Hyperlink"/>
          </w:rPr>
          <w:t>https://achatscanada.canada.ca/fr/notre-processus-d-achat/processus-d-achat/sollicitation-d-offres-et-attribution-du-contrat/types-d-appels-d-offres</w:t>
        </w:r>
      </w:hyperlink>
    </w:p>
    <w:p w14:paraId="4449564F" w14:textId="77777777" w:rsidR="009C026F" w:rsidRPr="00E34E46" w:rsidRDefault="009C026F" w:rsidP="000E33D2">
      <w:pPr>
        <w:pStyle w:val="APABibliography"/>
      </w:pPr>
      <w:r w:rsidRPr="00E34E46">
        <w:lastRenderedPageBreak/>
        <w:t xml:space="preserve">Gouvernement du Canada. (2019). </w:t>
      </w:r>
      <w:r w:rsidRPr="00E34E46">
        <w:rPr>
          <w:i/>
        </w:rPr>
        <w:t>Loi canadienne sur l’accessibilité (L.C. 2019, ch. 10)</w:t>
      </w:r>
      <w:r w:rsidRPr="00E34E46">
        <w:t xml:space="preserve">. Site Web de la législation (Justice). Dernière modification le 27 avril 2023. En ligne : </w:t>
      </w:r>
      <w:hyperlink r:id="rId51" w:tgtFrame="_blank" w:history="1">
        <w:r w:rsidRPr="00E34E46">
          <w:rPr>
            <w:rStyle w:val="Hyperlink"/>
          </w:rPr>
          <w:t>https://laws-lois.justice.gc.ca/fra/lois/a-0.6/</w:t>
        </w:r>
      </w:hyperlink>
      <w:r w:rsidRPr="00E34E46">
        <w:t> </w:t>
      </w:r>
    </w:p>
    <w:p w14:paraId="4C80E818" w14:textId="77777777" w:rsidR="009C026F" w:rsidRPr="00E34E46" w:rsidRDefault="009C026F" w:rsidP="005243E8">
      <w:pPr>
        <w:pStyle w:val="APABibliography"/>
        <w:rPr>
          <w:rFonts w:cs="Times New Roman"/>
        </w:rPr>
      </w:pPr>
      <w:r w:rsidRPr="00E34E46">
        <w:t xml:space="preserve">Gouvernement du Canada. (21 octobre 2020). </w:t>
      </w:r>
      <w:r w:rsidRPr="00E34E46">
        <w:rPr>
          <w:i/>
          <w:iCs/>
        </w:rPr>
        <w:t>Nouvelles exigences en matière d’approvisionnement au chapitre de l’accessibilité</w:t>
      </w:r>
      <w:r w:rsidRPr="00E34E46">
        <w:t xml:space="preserve">. Services publics et Approvisionnement Canada. En ligne : </w:t>
      </w:r>
      <w:hyperlink r:id="rId52" w:tgtFrame="_blank" w:history="1">
        <w:r w:rsidRPr="00E34E46">
          <w:rPr>
            <w:rStyle w:val="Hyperlink"/>
          </w:rPr>
          <w:t>https://buyandsell.gc.ca/policy-and-guidelines/policy-notifications/PN-142</w:t>
        </w:r>
      </w:hyperlink>
      <w:r w:rsidRPr="00E34E46">
        <w:t> </w:t>
      </w:r>
    </w:p>
    <w:p w14:paraId="0854C0EE" w14:textId="77777777" w:rsidR="009C026F" w:rsidRPr="00E34E46" w:rsidRDefault="009C026F" w:rsidP="005243E8">
      <w:pPr>
        <w:pStyle w:val="APABibliography"/>
      </w:pPr>
      <w:r w:rsidRPr="00E34E46">
        <w:t xml:space="preserve">Gouvernement du Manitoba. (2013). </w:t>
      </w:r>
      <w:r w:rsidRPr="00E34E46">
        <w:rPr>
          <w:i/>
        </w:rPr>
        <w:t>La loi sur l’accessibilité pour les Manitobains</w:t>
      </w:r>
      <w:r w:rsidRPr="00E34E46">
        <w:t xml:space="preserve">. Bureau de l’accessibilité du Manitoba. Consulté le 30 mai 2024. En ligne : </w:t>
      </w:r>
      <w:hyperlink r:id="rId53" w:tgtFrame="_blank" w:history="1">
        <w:r w:rsidRPr="00E34E46">
          <w:rPr>
            <w:rStyle w:val="Hyperlink"/>
          </w:rPr>
          <w:t>https://accessibilitymb.ca/index.fr.html</w:t>
        </w:r>
      </w:hyperlink>
      <w:r w:rsidRPr="00E34E46">
        <w:t>. </w:t>
      </w:r>
    </w:p>
    <w:p w14:paraId="367A26A1" w14:textId="72ACF4D4" w:rsidR="009C026F" w:rsidRPr="00E34E46" w:rsidRDefault="009C026F" w:rsidP="005243E8">
      <w:pPr>
        <w:pStyle w:val="APABibliography"/>
      </w:pPr>
      <w:r w:rsidRPr="00E34E46">
        <w:t xml:space="preserve">Gupta, S. et R. Zanetti. (Mai 2015). </w:t>
      </w:r>
      <w:r w:rsidRPr="00E34E46">
        <w:rPr>
          <w:i/>
        </w:rPr>
        <w:t xml:space="preserve">Public </w:t>
      </w:r>
      <w:proofErr w:type="spellStart"/>
      <w:r w:rsidRPr="00E34E46">
        <w:rPr>
          <w:i/>
        </w:rPr>
        <w:t>procurement</w:t>
      </w:r>
      <w:proofErr w:type="spellEnd"/>
      <w:r w:rsidRPr="00E34E46">
        <w:rPr>
          <w:i/>
        </w:rPr>
        <w:t xml:space="preserve"> and the Convention on the </w:t>
      </w:r>
      <w:proofErr w:type="spellStart"/>
      <w:r w:rsidRPr="00E34E46">
        <w:rPr>
          <w:i/>
        </w:rPr>
        <w:t>Rights</w:t>
      </w:r>
      <w:proofErr w:type="spellEnd"/>
      <w:r w:rsidRPr="00E34E46">
        <w:rPr>
          <w:i/>
        </w:rPr>
        <w:t xml:space="preserve"> of Persons </w:t>
      </w:r>
      <w:proofErr w:type="spellStart"/>
      <w:r w:rsidRPr="00E34E46">
        <w:rPr>
          <w:i/>
        </w:rPr>
        <w:t>with</w:t>
      </w:r>
      <w:proofErr w:type="spellEnd"/>
      <w:r w:rsidRPr="00E34E46">
        <w:rPr>
          <w:i/>
        </w:rPr>
        <w:t xml:space="preserve"> </w:t>
      </w:r>
      <w:proofErr w:type="spellStart"/>
      <w:r w:rsidRPr="00E34E46">
        <w:rPr>
          <w:i/>
        </w:rPr>
        <w:t>Disabilities</w:t>
      </w:r>
      <w:proofErr w:type="spellEnd"/>
      <w:r w:rsidRPr="00E34E46">
        <w:rPr>
          <w:i/>
        </w:rPr>
        <w:t xml:space="preserve">: </w:t>
      </w:r>
      <w:proofErr w:type="spellStart"/>
      <w:r w:rsidRPr="00E34E46">
        <w:rPr>
          <w:i/>
        </w:rPr>
        <w:t>Rights</w:t>
      </w:r>
      <w:proofErr w:type="spellEnd"/>
      <w:r w:rsidRPr="00E34E46">
        <w:rPr>
          <w:i/>
        </w:rPr>
        <w:t xml:space="preserve"> in Practice</w:t>
      </w:r>
      <w:r w:rsidRPr="00E34E46">
        <w:t xml:space="preserve">. IDA, Ministry of Foreign </w:t>
      </w:r>
      <w:proofErr w:type="spellStart"/>
      <w:r w:rsidRPr="00E34E46">
        <w:t>Affairs</w:t>
      </w:r>
      <w:proofErr w:type="spellEnd"/>
      <w:r w:rsidRPr="00E34E46">
        <w:t xml:space="preserve"> of Finland, </w:t>
      </w:r>
      <w:proofErr w:type="spellStart"/>
      <w:r w:rsidRPr="00E34E46">
        <w:t>Australian</w:t>
      </w:r>
      <w:proofErr w:type="spellEnd"/>
      <w:r w:rsidRPr="00E34E46">
        <w:t xml:space="preserve"> </w:t>
      </w:r>
      <w:proofErr w:type="spellStart"/>
      <w:r w:rsidRPr="00E34E46">
        <w:t>Department</w:t>
      </w:r>
      <w:proofErr w:type="spellEnd"/>
      <w:r w:rsidRPr="00E34E46">
        <w:t xml:space="preserve"> of Foreign </w:t>
      </w:r>
      <w:proofErr w:type="spellStart"/>
      <w:r w:rsidRPr="00E34E46">
        <w:t>Affairs</w:t>
      </w:r>
      <w:proofErr w:type="spellEnd"/>
      <w:r w:rsidRPr="00E34E46">
        <w:t xml:space="preserve"> and Trade. En ligne : </w:t>
      </w:r>
      <w:hyperlink r:id="rId54" w:history="1">
        <w:r w:rsidRPr="00E34E46">
          <w:rPr>
            <w:rStyle w:val="Hyperlink"/>
          </w:rPr>
          <w:t>https://www.internationaldisabilityalliance.org/sites/default/files/6.4_public_procurement_and_the_crpd_rights_in_practice_2015.pdf</w:t>
        </w:r>
      </w:hyperlink>
    </w:p>
    <w:p w14:paraId="0728C2DD" w14:textId="77777777" w:rsidR="009C026F" w:rsidRPr="00E34E46" w:rsidRDefault="009C026F" w:rsidP="005243E8">
      <w:pPr>
        <w:pStyle w:val="APABibliography"/>
      </w:pPr>
      <w:r w:rsidRPr="00E34E46">
        <w:t xml:space="preserve">Hébert, B.-P., C. Kevins, A.M. Mofidi, S. Morris, D. Simionescu et M. Thicke. (2024). </w:t>
      </w:r>
      <w:r w:rsidRPr="00E34E46">
        <w:rPr>
          <w:i/>
          <w:iCs/>
        </w:rPr>
        <w:t xml:space="preserve">Profil démographique, d’emploi et de revenu des personnes ayant </w:t>
      </w:r>
      <w:proofErr w:type="gramStart"/>
      <w:r w:rsidRPr="00E34E46">
        <w:rPr>
          <w:i/>
          <w:iCs/>
        </w:rPr>
        <w:t>une incapacité âgées</w:t>
      </w:r>
      <w:proofErr w:type="gramEnd"/>
      <w:r w:rsidRPr="00E34E46">
        <w:rPr>
          <w:i/>
          <w:iCs/>
        </w:rPr>
        <w:t xml:space="preserve"> de 15 ans et plus au Canada, 2022</w:t>
      </w:r>
      <w:r w:rsidRPr="00E34E46">
        <w:t xml:space="preserve"> (Rapports sur l’incapacité et l’accessibilité au Canada). Statistique Canada. En ligne : </w:t>
      </w:r>
      <w:hyperlink r:id="rId55" w:history="1">
        <w:r w:rsidRPr="00E34E46">
          <w:rPr>
            <w:rStyle w:val="Hyperlink"/>
          </w:rPr>
          <w:t>https://www150.statcan.gc.ca/n1/pub/89-654-x/89-654-x2024001-fra.htm</w:t>
        </w:r>
      </w:hyperlink>
    </w:p>
    <w:p w14:paraId="41C839A1" w14:textId="1319CBF1" w:rsidR="009C026F" w:rsidRPr="00E34E46" w:rsidRDefault="009C026F" w:rsidP="005243E8">
      <w:pPr>
        <w:pStyle w:val="APABibliography"/>
      </w:pPr>
      <w:r w:rsidRPr="00E34E46">
        <w:t xml:space="preserve">Hendricks, K.B. et V.R. Singhal. (2005). « An </w:t>
      </w:r>
      <w:proofErr w:type="spellStart"/>
      <w:r w:rsidRPr="00E34E46">
        <w:t>Empirical</w:t>
      </w:r>
      <w:proofErr w:type="spellEnd"/>
      <w:r w:rsidRPr="00E34E46">
        <w:t xml:space="preserve"> </w:t>
      </w:r>
      <w:proofErr w:type="spellStart"/>
      <w:r w:rsidRPr="00E34E46">
        <w:t>Analysis</w:t>
      </w:r>
      <w:proofErr w:type="spellEnd"/>
      <w:r w:rsidRPr="00E34E46">
        <w:t xml:space="preserve"> of the </w:t>
      </w:r>
      <w:proofErr w:type="spellStart"/>
      <w:r w:rsidRPr="00E34E46">
        <w:t>Effect</w:t>
      </w:r>
      <w:proofErr w:type="spellEnd"/>
      <w:r w:rsidRPr="00E34E46">
        <w:t xml:space="preserve"> of </w:t>
      </w:r>
      <w:proofErr w:type="spellStart"/>
      <w:r w:rsidRPr="00E34E46">
        <w:t>Supply</w:t>
      </w:r>
      <w:proofErr w:type="spellEnd"/>
      <w:r w:rsidRPr="00E34E46">
        <w:t xml:space="preserve"> Chain Disruptions on Long</w:t>
      </w:r>
      <w:r w:rsidRPr="00E34E46">
        <w:rPr>
          <w:rFonts w:ascii="Cambria Math" w:hAnsi="Cambria Math"/>
        </w:rPr>
        <w:t>‐</w:t>
      </w:r>
      <w:r w:rsidRPr="00E34E46">
        <w:t xml:space="preserve">Run Stock Price Performance and </w:t>
      </w:r>
      <w:proofErr w:type="spellStart"/>
      <w:r w:rsidRPr="00E34E46">
        <w:t>Equity</w:t>
      </w:r>
      <w:proofErr w:type="spellEnd"/>
      <w:r w:rsidRPr="00E34E46">
        <w:t xml:space="preserve"> Risk of the Firm » dans </w:t>
      </w:r>
      <w:r w:rsidRPr="00E34E46">
        <w:rPr>
          <w:i/>
        </w:rPr>
        <w:t>Production and Operations Management</w:t>
      </w:r>
      <w:r w:rsidRPr="00E34E46">
        <w:t xml:space="preserve">, </w:t>
      </w:r>
      <w:r w:rsidRPr="00E34E46">
        <w:rPr>
          <w:i/>
        </w:rPr>
        <w:t>14</w:t>
      </w:r>
      <w:r w:rsidRPr="00E34E46">
        <w:t xml:space="preserve">(1), p. 35-52. En ligne : </w:t>
      </w:r>
      <w:hyperlink r:id="rId56" w:history="1">
        <w:r w:rsidRPr="00E34E46">
          <w:rPr>
            <w:rStyle w:val="Hyperlink"/>
          </w:rPr>
          <w:t>https://doi.org/10.1111/j.1937-5956.2005.tb00008.x</w:t>
        </w:r>
      </w:hyperlink>
    </w:p>
    <w:p w14:paraId="3957A8CF" w14:textId="0D01139A" w:rsidR="009C026F" w:rsidRPr="00E34E46" w:rsidRDefault="009C026F" w:rsidP="005243E8">
      <w:pPr>
        <w:pStyle w:val="APABibliography"/>
      </w:pPr>
      <w:r w:rsidRPr="00E34E46">
        <w:t xml:space="preserve">Henriques, I., R. Colbourne, A.M. Peredo, R. Anderson et R. </w:t>
      </w:r>
      <w:proofErr w:type="spellStart"/>
      <w:r w:rsidRPr="00E34E46">
        <w:t>Wanuch</w:t>
      </w:r>
      <w:proofErr w:type="spellEnd"/>
      <w:r w:rsidRPr="00E34E46">
        <w:t>. (2024). « </w:t>
      </w:r>
      <w:proofErr w:type="spellStart"/>
      <w:r w:rsidRPr="00E34E46">
        <w:t>Transforming</w:t>
      </w:r>
      <w:proofErr w:type="spellEnd"/>
      <w:r w:rsidRPr="00E34E46">
        <w:t xml:space="preserve"> </w:t>
      </w:r>
      <w:proofErr w:type="spellStart"/>
      <w:r w:rsidRPr="00E34E46">
        <w:t>Indigenous</w:t>
      </w:r>
      <w:proofErr w:type="spellEnd"/>
      <w:r w:rsidRPr="00E34E46">
        <w:t xml:space="preserve"> Procurement: </w:t>
      </w:r>
      <w:proofErr w:type="spellStart"/>
      <w:r w:rsidRPr="00E34E46">
        <w:t>Empowerment</w:t>
      </w:r>
      <w:proofErr w:type="spellEnd"/>
      <w:r w:rsidRPr="00E34E46">
        <w:t xml:space="preserve">, Challenges, and the Road </w:t>
      </w:r>
      <w:proofErr w:type="spellStart"/>
      <w:r w:rsidRPr="00E34E46">
        <w:t>Ahead</w:t>
      </w:r>
      <w:proofErr w:type="spellEnd"/>
      <w:r w:rsidRPr="00E34E46">
        <w:t xml:space="preserve"> » dans </w:t>
      </w:r>
      <w:r w:rsidRPr="00E34E46">
        <w:rPr>
          <w:i/>
        </w:rPr>
        <w:t xml:space="preserve">Journal of </w:t>
      </w:r>
      <w:proofErr w:type="spellStart"/>
      <w:r w:rsidRPr="00E34E46">
        <w:rPr>
          <w:i/>
        </w:rPr>
        <w:t>Aboriginal</w:t>
      </w:r>
      <w:proofErr w:type="spellEnd"/>
      <w:r w:rsidRPr="00E34E46">
        <w:rPr>
          <w:i/>
        </w:rPr>
        <w:t xml:space="preserve"> </w:t>
      </w:r>
      <w:proofErr w:type="spellStart"/>
      <w:r w:rsidRPr="00E34E46">
        <w:rPr>
          <w:i/>
        </w:rPr>
        <w:t>Economic</w:t>
      </w:r>
      <w:proofErr w:type="spellEnd"/>
      <w:r w:rsidRPr="00E34E46">
        <w:rPr>
          <w:i/>
        </w:rPr>
        <w:t xml:space="preserve"> </w:t>
      </w:r>
      <w:proofErr w:type="spellStart"/>
      <w:r w:rsidRPr="00E34E46">
        <w:rPr>
          <w:i/>
        </w:rPr>
        <w:t>Development</w:t>
      </w:r>
      <w:proofErr w:type="spellEnd"/>
      <w:r w:rsidRPr="00E34E46">
        <w:t xml:space="preserve">, </w:t>
      </w:r>
      <w:r w:rsidRPr="00E34E46">
        <w:rPr>
          <w:i/>
        </w:rPr>
        <w:t>14</w:t>
      </w:r>
      <w:r w:rsidRPr="00E34E46">
        <w:t xml:space="preserve">(1). En ligne : </w:t>
      </w:r>
      <w:hyperlink r:id="rId57" w:history="1">
        <w:r w:rsidRPr="00E34E46">
          <w:rPr>
            <w:rStyle w:val="Hyperlink"/>
          </w:rPr>
          <w:t>https://doi.org/10.29173/jaed9</w:t>
        </w:r>
      </w:hyperlink>
    </w:p>
    <w:p w14:paraId="72F3E670" w14:textId="3C261811" w:rsidR="009C026F" w:rsidRPr="00E34E46" w:rsidRDefault="009C026F" w:rsidP="005243E8">
      <w:pPr>
        <w:pStyle w:val="APABibliography"/>
      </w:pPr>
      <w:r w:rsidRPr="00E34E46">
        <w:lastRenderedPageBreak/>
        <w:t xml:space="preserve">Hudon, P.-A., P. Dumas et C. </w:t>
      </w:r>
      <w:proofErr w:type="spellStart"/>
      <w:r w:rsidRPr="00E34E46">
        <w:t>Garzón</w:t>
      </w:r>
      <w:proofErr w:type="spellEnd"/>
      <w:r w:rsidRPr="00E34E46">
        <w:t>. (2021). « </w:t>
      </w:r>
      <w:proofErr w:type="spellStart"/>
      <w:r w:rsidRPr="00E34E46">
        <w:t>Recent</w:t>
      </w:r>
      <w:proofErr w:type="spellEnd"/>
      <w:r w:rsidRPr="00E34E46">
        <w:t xml:space="preserve"> </w:t>
      </w:r>
      <w:proofErr w:type="spellStart"/>
      <w:r w:rsidRPr="00E34E46">
        <w:t>research</w:t>
      </w:r>
      <w:proofErr w:type="spellEnd"/>
      <w:r w:rsidRPr="00E34E46">
        <w:t xml:space="preserve"> on public </w:t>
      </w:r>
      <w:proofErr w:type="spellStart"/>
      <w:r w:rsidRPr="00E34E46">
        <w:t>procurement</w:t>
      </w:r>
      <w:proofErr w:type="spellEnd"/>
      <w:r w:rsidRPr="00E34E46">
        <w:t xml:space="preserve">: </w:t>
      </w:r>
      <w:proofErr w:type="spellStart"/>
      <w:r w:rsidRPr="00E34E46">
        <w:t>Should</w:t>
      </w:r>
      <w:proofErr w:type="spellEnd"/>
      <w:r w:rsidRPr="00E34E46">
        <w:t xml:space="preserve"> </w:t>
      </w:r>
      <w:proofErr w:type="spellStart"/>
      <w:r w:rsidRPr="00E34E46">
        <w:t>it</w:t>
      </w:r>
      <w:proofErr w:type="spellEnd"/>
      <w:r w:rsidRPr="00E34E46">
        <w:t xml:space="preserve"> </w:t>
      </w:r>
      <w:proofErr w:type="spellStart"/>
      <w:r w:rsidRPr="00E34E46">
        <w:t>become</w:t>
      </w:r>
      <w:proofErr w:type="spellEnd"/>
      <w:r w:rsidRPr="00E34E46">
        <w:t xml:space="preserve"> a </w:t>
      </w:r>
      <w:proofErr w:type="spellStart"/>
      <w:r w:rsidRPr="00E34E46">
        <w:t>subfield</w:t>
      </w:r>
      <w:proofErr w:type="spellEnd"/>
      <w:r w:rsidRPr="00E34E46">
        <w:t xml:space="preserve"> of public administration? » dans </w:t>
      </w:r>
      <w:r w:rsidRPr="00E34E46">
        <w:rPr>
          <w:i/>
        </w:rPr>
        <w:t>Canadian Public Administration</w:t>
      </w:r>
      <w:r w:rsidRPr="00E34E46">
        <w:t xml:space="preserve">, </w:t>
      </w:r>
      <w:r w:rsidRPr="00E34E46">
        <w:rPr>
          <w:i/>
        </w:rPr>
        <w:t>64</w:t>
      </w:r>
      <w:r w:rsidRPr="00E34E46">
        <w:t xml:space="preserve">(2), p. 179-201. En ligne : </w:t>
      </w:r>
      <w:hyperlink r:id="rId58" w:history="1">
        <w:r w:rsidRPr="00E34E46">
          <w:rPr>
            <w:rStyle w:val="Hyperlink"/>
          </w:rPr>
          <w:t>https://doi.org/10.1111/capa.12414</w:t>
        </w:r>
      </w:hyperlink>
    </w:p>
    <w:p w14:paraId="11DC3D58" w14:textId="3DED612F" w:rsidR="009C026F" w:rsidRPr="00E34E46" w:rsidRDefault="009C026F" w:rsidP="005243E8">
      <w:pPr>
        <w:pStyle w:val="APABibliography"/>
      </w:pPr>
      <w:r w:rsidRPr="00E34E46">
        <w:t xml:space="preserve">IAAP, (2022). </w:t>
      </w:r>
      <w:r w:rsidRPr="00E34E46">
        <w:rPr>
          <w:i/>
        </w:rPr>
        <w:t xml:space="preserve">Overlay Position and </w:t>
      </w:r>
      <w:proofErr w:type="spellStart"/>
      <w:r w:rsidRPr="00E34E46">
        <w:rPr>
          <w:i/>
        </w:rPr>
        <w:t>Recommendations</w:t>
      </w:r>
      <w:proofErr w:type="spellEnd"/>
      <w:r w:rsidRPr="00E34E46">
        <w:t xml:space="preserve">. International Association of </w:t>
      </w:r>
      <w:proofErr w:type="spellStart"/>
      <w:r w:rsidRPr="00E34E46">
        <w:t>Accessibility</w:t>
      </w:r>
      <w:proofErr w:type="spellEnd"/>
      <w:r w:rsidRPr="00E34E46">
        <w:t xml:space="preserve"> Professionals (IAAP). En ligne : </w:t>
      </w:r>
      <w:hyperlink r:id="rId59" w:history="1">
        <w:r w:rsidRPr="00E34E46">
          <w:rPr>
            <w:rStyle w:val="Hyperlink"/>
          </w:rPr>
          <w:t>https://www.accessibilityassociation.org/s/overlay-position-and-recommendations</w:t>
        </w:r>
      </w:hyperlink>
    </w:p>
    <w:p w14:paraId="492A06C0" w14:textId="77777777" w:rsidR="009C026F" w:rsidRPr="00E34E46" w:rsidRDefault="009C026F" w:rsidP="005243E8">
      <w:pPr>
        <w:pStyle w:val="APABibliography"/>
      </w:pPr>
      <w:r w:rsidRPr="00E34E46">
        <w:t xml:space="preserve">Information </w:t>
      </w:r>
      <w:proofErr w:type="spellStart"/>
      <w:r w:rsidRPr="00E34E46">
        <w:t>Technology</w:t>
      </w:r>
      <w:proofErr w:type="spellEnd"/>
      <w:r w:rsidRPr="00E34E46">
        <w:t xml:space="preserve"> </w:t>
      </w:r>
      <w:proofErr w:type="spellStart"/>
      <w:r w:rsidRPr="00E34E46">
        <w:t>Industry</w:t>
      </w:r>
      <w:proofErr w:type="spellEnd"/>
      <w:r w:rsidRPr="00E34E46">
        <w:t xml:space="preserve"> Council. (</w:t>
      </w:r>
      <w:proofErr w:type="gramStart"/>
      <w:r w:rsidRPr="00E34E46">
        <w:t>s.</w:t>
      </w:r>
      <w:proofErr w:type="gramEnd"/>
      <w:r w:rsidRPr="00E34E46">
        <w:t xml:space="preserve"> d.). </w:t>
      </w:r>
      <w:r w:rsidRPr="00E34E46">
        <w:rPr>
          <w:i/>
        </w:rPr>
        <w:t>VPAT training</w:t>
      </w:r>
      <w:r w:rsidRPr="00E34E46">
        <w:t xml:space="preserve">. ITI. Consulté le 11 juin 2924. En ligne : </w:t>
      </w:r>
      <w:hyperlink r:id="rId60" w:history="1">
        <w:r w:rsidRPr="00E34E46">
          <w:rPr>
            <w:rStyle w:val="Hyperlink"/>
          </w:rPr>
          <w:t>https://www.itic.org/policy/accessibility/vpat-training</w:t>
        </w:r>
      </w:hyperlink>
      <w:r w:rsidRPr="00E34E46">
        <w:t> </w:t>
      </w:r>
    </w:p>
    <w:p w14:paraId="6C51CCEA" w14:textId="77777777" w:rsidR="009C026F" w:rsidRPr="00E34E46" w:rsidRDefault="009C026F" w:rsidP="00FE24DC">
      <w:pPr>
        <w:pStyle w:val="APABibliography"/>
      </w:pPr>
      <w:r w:rsidRPr="00E34E46">
        <w:t>ISO, Organisation internationale de normalisation. (</w:t>
      </w:r>
      <w:proofErr w:type="gramStart"/>
      <w:r w:rsidRPr="00E34E46">
        <w:t>s.</w:t>
      </w:r>
      <w:proofErr w:type="gramEnd"/>
      <w:r w:rsidRPr="00E34E46">
        <w:t xml:space="preserve"> d.). </w:t>
      </w:r>
      <w:r w:rsidRPr="00E34E46">
        <w:rPr>
          <w:i/>
        </w:rPr>
        <w:t>Normes</w:t>
      </w:r>
      <w:r w:rsidRPr="00E34E46">
        <w:t xml:space="preserve">. </w:t>
      </w:r>
      <w:hyperlink r:id="rId61" w:history="1">
        <w:r w:rsidRPr="00E34E46">
          <w:rPr>
            <w:rStyle w:val="Hyperlink"/>
          </w:rPr>
          <w:t>https://www.iso.org/fr/standards.html</w:t>
        </w:r>
      </w:hyperlink>
    </w:p>
    <w:p w14:paraId="192F0CB2" w14:textId="77777777" w:rsidR="009C026F" w:rsidRPr="00E34E46" w:rsidRDefault="009C026F" w:rsidP="005243E8">
      <w:pPr>
        <w:pStyle w:val="APABibliography"/>
      </w:pPr>
      <w:r w:rsidRPr="00E34E46">
        <w:t xml:space="preserve">ISO. (2007). ISO 28001:2007(en) — Security management </w:t>
      </w:r>
      <w:proofErr w:type="spellStart"/>
      <w:r w:rsidRPr="00E34E46">
        <w:t>systems</w:t>
      </w:r>
      <w:proofErr w:type="spellEnd"/>
      <w:r w:rsidRPr="00E34E46">
        <w:t xml:space="preserve"> for the </w:t>
      </w:r>
      <w:proofErr w:type="spellStart"/>
      <w:r w:rsidRPr="00E34E46">
        <w:t>supply</w:t>
      </w:r>
      <w:proofErr w:type="spellEnd"/>
      <w:r w:rsidRPr="00E34E46">
        <w:t xml:space="preserve"> </w:t>
      </w:r>
      <w:proofErr w:type="spellStart"/>
      <w:r w:rsidRPr="00E34E46">
        <w:t>chain</w:t>
      </w:r>
      <w:proofErr w:type="spellEnd"/>
      <w:r w:rsidRPr="00E34E46">
        <w:t xml:space="preserve"> — Best practices for </w:t>
      </w:r>
      <w:proofErr w:type="spellStart"/>
      <w:r w:rsidRPr="00E34E46">
        <w:t>implementing</w:t>
      </w:r>
      <w:proofErr w:type="spellEnd"/>
      <w:r w:rsidRPr="00E34E46">
        <w:t xml:space="preserve"> </w:t>
      </w:r>
      <w:proofErr w:type="spellStart"/>
      <w:r w:rsidRPr="00E34E46">
        <w:t>supply</w:t>
      </w:r>
      <w:proofErr w:type="spellEnd"/>
      <w:r w:rsidRPr="00E34E46">
        <w:t xml:space="preserve"> </w:t>
      </w:r>
      <w:proofErr w:type="spellStart"/>
      <w:r w:rsidRPr="00E34E46">
        <w:t>chain</w:t>
      </w:r>
      <w:proofErr w:type="spellEnd"/>
      <w:r w:rsidRPr="00E34E46">
        <w:t xml:space="preserve"> </w:t>
      </w:r>
      <w:proofErr w:type="spellStart"/>
      <w:r w:rsidRPr="00E34E46">
        <w:t>security</w:t>
      </w:r>
      <w:proofErr w:type="spellEnd"/>
      <w:r w:rsidRPr="00E34E46">
        <w:t xml:space="preserve">, </w:t>
      </w:r>
      <w:proofErr w:type="spellStart"/>
      <w:r w:rsidRPr="00E34E46">
        <w:t>assessments</w:t>
      </w:r>
      <w:proofErr w:type="spellEnd"/>
      <w:r w:rsidRPr="00E34E46">
        <w:t xml:space="preserve"> and plans — </w:t>
      </w:r>
      <w:proofErr w:type="spellStart"/>
      <w:r w:rsidRPr="00E34E46">
        <w:t>Requirements</w:t>
      </w:r>
      <w:proofErr w:type="spellEnd"/>
      <w:r w:rsidRPr="00E34E46">
        <w:t xml:space="preserve"> and guidance. En ligne : </w:t>
      </w:r>
      <w:hyperlink r:id="rId62" w:anchor="iso:std:iso:28001:ed-1:v1:fr" w:history="1">
        <w:r w:rsidRPr="00E34E46">
          <w:rPr>
            <w:rStyle w:val="Hyperlink"/>
          </w:rPr>
          <w:t>https://www.iso.org/obp/ui/#iso:std:iso:28001:ed-1:v1:en</w:t>
        </w:r>
      </w:hyperlink>
      <w:r w:rsidRPr="00E34E46">
        <w:t> </w:t>
      </w:r>
    </w:p>
    <w:p w14:paraId="3D06BA7E" w14:textId="77777777" w:rsidR="009C026F" w:rsidRPr="00E34E46" w:rsidRDefault="009C026F" w:rsidP="005243E8">
      <w:pPr>
        <w:pStyle w:val="APABibliography"/>
      </w:pPr>
      <w:r w:rsidRPr="00E34E46">
        <w:lastRenderedPageBreak/>
        <w:t xml:space="preserve">ISO. (2009). </w:t>
      </w:r>
      <w:r w:rsidRPr="00E34E46">
        <w:rPr>
          <w:i/>
        </w:rPr>
        <w:t>ISO Guide 73:2009(</w:t>
      </w:r>
      <w:proofErr w:type="spellStart"/>
      <w:r w:rsidRPr="00E34E46">
        <w:rPr>
          <w:i/>
        </w:rPr>
        <w:t>fr</w:t>
      </w:r>
      <w:proofErr w:type="spellEnd"/>
      <w:r w:rsidRPr="00E34E46">
        <w:rPr>
          <w:i/>
        </w:rPr>
        <w:t>) — Management du risque — Vocabulaire</w:t>
      </w:r>
      <w:r w:rsidRPr="00E34E46">
        <w:t xml:space="preserve">. En ligne : </w:t>
      </w:r>
      <w:hyperlink r:id="rId63" w:anchor="iso:std:iso:guide:73:ed-1:v1:fr" w:history="1">
        <w:r w:rsidRPr="00E34E46">
          <w:rPr>
            <w:rStyle w:val="Hyperlink"/>
          </w:rPr>
          <w:t>https://www.iso.org/obp/ui/#iso:std:iso:guide:73:ed-1:v1:fr</w:t>
        </w:r>
      </w:hyperlink>
      <w:r w:rsidRPr="00E34E46">
        <w:t> </w:t>
      </w:r>
    </w:p>
    <w:p w14:paraId="462D4598" w14:textId="77777777" w:rsidR="009C026F" w:rsidRPr="00E34E46" w:rsidRDefault="009C026F" w:rsidP="005243E8">
      <w:pPr>
        <w:pStyle w:val="APABibliography"/>
      </w:pPr>
      <w:r w:rsidRPr="00E34E46">
        <w:t xml:space="preserve">ISO. (2010). </w:t>
      </w:r>
      <w:r w:rsidRPr="00E34E46">
        <w:rPr>
          <w:i/>
        </w:rPr>
        <w:t>ISO 26000:2010(</w:t>
      </w:r>
      <w:proofErr w:type="spellStart"/>
      <w:r w:rsidRPr="00E34E46">
        <w:rPr>
          <w:i/>
        </w:rPr>
        <w:t>fr</w:t>
      </w:r>
      <w:proofErr w:type="spellEnd"/>
      <w:r w:rsidRPr="00E34E46">
        <w:rPr>
          <w:i/>
        </w:rPr>
        <w:t>) — Lignes directrices relatives à la responsabilité sociétale</w:t>
      </w:r>
      <w:r w:rsidRPr="00E34E46">
        <w:t xml:space="preserve">. En ligne : </w:t>
      </w:r>
      <w:hyperlink r:id="rId64" w:anchor="iso:std:iso:26000:ed-1:v1:fr" w:history="1">
        <w:r w:rsidRPr="00E34E46">
          <w:rPr>
            <w:rStyle w:val="Hyperlink"/>
          </w:rPr>
          <w:t>https://www.iso.org/obp/ui/en/#iso:std:iso:26000:ed-1:v1:fr</w:t>
        </w:r>
      </w:hyperlink>
      <w:r w:rsidRPr="00E34E46">
        <w:t> </w:t>
      </w:r>
    </w:p>
    <w:p w14:paraId="51D3BF8B" w14:textId="1B810972" w:rsidR="009C026F" w:rsidRPr="00E34E46" w:rsidRDefault="009C026F" w:rsidP="000D3AD2">
      <w:pPr>
        <w:pStyle w:val="APABibliography"/>
      </w:pPr>
      <w:r w:rsidRPr="00E34E46">
        <w:t xml:space="preserve">ISO. (2014). ISO 22400-1:2014(en) — Automation </w:t>
      </w:r>
      <w:proofErr w:type="spellStart"/>
      <w:r w:rsidRPr="00E34E46">
        <w:t>systems</w:t>
      </w:r>
      <w:proofErr w:type="spellEnd"/>
      <w:r w:rsidRPr="00E34E46">
        <w:t xml:space="preserve"> and </w:t>
      </w:r>
      <w:proofErr w:type="spellStart"/>
      <w:r w:rsidRPr="00E34E46">
        <w:t>integration</w:t>
      </w:r>
      <w:proofErr w:type="spellEnd"/>
      <w:r w:rsidRPr="00E34E46">
        <w:t xml:space="preserve"> — Key performance </w:t>
      </w:r>
      <w:proofErr w:type="spellStart"/>
      <w:r w:rsidRPr="00E34E46">
        <w:t>indicators</w:t>
      </w:r>
      <w:proofErr w:type="spellEnd"/>
      <w:r w:rsidRPr="00E34E46">
        <w:t xml:space="preserve"> (KPIs) for </w:t>
      </w:r>
      <w:proofErr w:type="spellStart"/>
      <w:r w:rsidRPr="00E34E46">
        <w:t>manufacturing</w:t>
      </w:r>
      <w:proofErr w:type="spellEnd"/>
      <w:r w:rsidRPr="00E34E46">
        <w:t xml:space="preserve"> </w:t>
      </w:r>
      <w:proofErr w:type="spellStart"/>
      <w:r w:rsidRPr="00E34E46">
        <w:t>operations</w:t>
      </w:r>
      <w:proofErr w:type="spellEnd"/>
      <w:r w:rsidRPr="00E34E46">
        <w:t xml:space="preserve"> management — Part 1: </w:t>
      </w:r>
      <w:proofErr w:type="spellStart"/>
      <w:r w:rsidRPr="00E34E46">
        <w:t>Overview</w:t>
      </w:r>
      <w:proofErr w:type="spellEnd"/>
      <w:r w:rsidRPr="00E34E46">
        <w:t xml:space="preserve">, concepts and </w:t>
      </w:r>
      <w:proofErr w:type="spellStart"/>
      <w:r w:rsidRPr="00E34E46">
        <w:t>terminology</w:t>
      </w:r>
      <w:proofErr w:type="spellEnd"/>
      <w:r w:rsidRPr="00E34E46">
        <w:t xml:space="preserve">. En ligne : </w:t>
      </w:r>
      <w:hyperlink r:id="rId65" w:anchor="iso:std:iso:22400:-1:ed-1:v1:en" w:history="1">
        <w:r w:rsidRPr="00E34E46">
          <w:rPr>
            <w:rStyle w:val="Hyperlink"/>
          </w:rPr>
          <w:t>https://www.iso.org/obp/ui/en/#iso:std:iso:22400:-1:ed-1:v1:en</w:t>
        </w:r>
      </w:hyperlink>
    </w:p>
    <w:p w14:paraId="436823D8" w14:textId="77777777" w:rsidR="009C026F" w:rsidRPr="00E34E46" w:rsidRDefault="009C026F" w:rsidP="005243E8">
      <w:pPr>
        <w:pStyle w:val="APABibliography"/>
      </w:pPr>
      <w:r w:rsidRPr="00E34E46">
        <w:t xml:space="preserve">ISO. (2017). </w:t>
      </w:r>
      <w:r w:rsidRPr="00E34E46">
        <w:rPr>
          <w:i/>
        </w:rPr>
        <w:t xml:space="preserve">ISO 6707-2:2017(en) Buildings and civil engineering </w:t>
      </w:r>
      <w:proofErr w:type="spellStart"/>
      <w:r w:rsidRPr="00E34E46">
        <w:rPr>
          <w:i/>
        </w:rPr>
        <w:t>works</w:t>
      </w:r>
      <w:proofErr w:type="spellEnd"/>
      <w:r w:rsidRPr="00E34E46">
        <w:rPr>
          <w:i/>
        </w:rPr>
        <w:t xml:space="preserve"> — </w:t>
      </w:r>
      <w:proofErr w:type="spellStart"/>
      <w:r w:rsidRPr="00E34E46">
        <w:rPr>
          <w:i/>
        </w:rPr>
        <w:t>Vocabulary</w:t>
      </w:r>
      <w:proofErr w:type="spellEnd"/>
      <w:r w:rsidRPr="00E34E46">
        <w:rPr>
          <w:i/>
        </w:rPr>
        <w:t xml:space="preserve"> — Part 2: </w:t>
      </w:r>
      <w:proofErr w:type="spellStart"/>
      <w:r w:rsidRPr="00E34E46">
        <w:rPr>
          <w:i/>
        </w:rPr>
        <w:t>Contract</w:t>
      </w:r>
      <w:proofErr w:type="spellEnd"/>
      <w:r w:rsidRPr="00E34E46">
        <w:rPr>
          <w:i/>
        </w:rPr>
        <w:t xml:space="preserve"> and communication </w:t>
      </w:r>
      <w:proofErr w:type="spellStart"/>
      <w:r w:rsidRPr="00E34E46">
        <w:rPr>
          <w:i/>
        </w:rPr>
        <w:t>terms</w:t>
      </w:r>
      <w:proofErr w:type="spellEnd"/>
      <w:r w:rsidRPr="00E34E46">
        <w:t xml:space="preserve">. En ligne : </w:t>
      </w:r>
      <w:hyperlink r:id="rId66" w:anchor="iso:std:iso:6707:-2:ed-3:v1:en" w:history="1">
        <w:r w:rsidRPr="00E34E46">
          <w:rPr>
            <w:rStyle w:val="Hyperlink"/>
          </w:rPr>
          <w:t>https://www.iso.org/obp/ui/#iso:std:iso:6707:-2:ed-3:v1:en</w:t>
        </w:r>
      </w:hyperlink>
      <w:r w:rsidRPr="00E34E46">
        <w:t> </w:t>
      </w:r>
    </w:p>
    <w:p w14:paraId="0D33E1F9" w14:textId="0CFEBB05" w:rsidR="009C026F" w:rsidRPr="00E34E46" w:rsidRDefault="009C026F" w:rsidP="00107286">
      <w:pPr>
        <w:pStyle w:val="APABibliography"/>
      </w:pPr>
      <w:r w:rsidRPr="00E34E46">
        <w:t xml:space="preserve">ISO. (2017). </w:t>
      </w:r>
      <w:r w:rsidRPr="00E34E46">
        <w:rPr>
          <w:i/>
        </w:rPr>
        <w:t>ISO20400 Achats responsables — Lignes directrices</w:t>
      </w:r>
      <w:r w:rsidRPr="00E34E46">
        <w:t xml:space="preserve">. ISO20400. Consulté le 28 mai 2024. En ligne : </w:t>
      </w:r>
      <w:hyperlink r:id="rId67" w:history="1">
        <w:r w:rsidRPr="00E34E46">
          <w:rPr>
            <w:rStyle w:val="Hyperlink"/>
          </w:rPr>
          <w:t>https://www.iso.org/fr/standard/63026.html</w:t>
        </w:r>
      </w:hyperlink>
    </w:p>
    <w:p w14:paraId="1A70D265" w14:textId="77777777" w:rsidR="009C026F" w:rsidRPr="00E34E46" w:rsidRDefault="009C026F" w:rsidP="005243E8">
      <w:pPr>
        <w:pStyle w:val="APABibliography"/>
      </w:pPr>
      <w:r w:rsidRPr="00E34E46">
        <w:lastRenderedPageBreak/>
        <w:t xml:space="preserve">ISO. (2018). </w:t>
      </w:r>
      <w:r w:rsidRPr="00E34E46">
        <w:rPr>
          <w:i/>
        </w:rPr>
        <w:t>ISO 9241-11:2018(</w:t>
      </w:r>
      <w:proofErr w:type="spellStart"/>
      <w:r w:rsidRPr="00E34E46">
        <w:rPr>
          <w:i/>
        </w:rPr>
        <w:t>fr</w:t>
      </w:r>
      <w:proofErr w:type="spellEnd"/>
      <w:r w:rsidRPr="00E34E46">
        <w:rPr>
          <w:i/>
        </w:rPr>
        <w:t>) — Ergonomie de l’interaction homme-système — Partie 11 : Utilisabilité — Définitions et concepts</w:t>
      </w:r>
      <w:r w:rsidRPr="00E34E46">
        <w:t xml:space="preserve">. En ligne : </w:t>
      </w:r>
      <w:hyperlink r:id="rId68" w:anchor="iso:std:iso:9241:-11:ed-2:v1:fr" w:history="1">
        <w:r w:rsidRPr="00E34E46">
          <w:rPr>
            <w:rStyle w:val="Hyperlink"/>
          </w:rPr>
          <w:t>https://www.iso.org/obp/ui/en/#iso:std:iso:9241:-11:ed-2:v1:fr</w:t>
        </w:r>
      </w:hyperlink>
      <w:r w:rsidRPr="00E34E46">
        <w:t> </w:t>
      </w:r>
    </w:p>
    <w:p w14:paraId="7544245C" w14:textId="77777777" w:rsidR="009C026F" w:rsidRPr="00E34E46" w:rsidRDefault="009C026F" w:rsidP="005243E8">
      <w:pPr>
        <w:pStyle w:val="APABibliography"/>
      </w:pPr>
      <w:r w:rsidRPr="00E34E46">
        <w:t xml:space="preserve">ISO. (2020a). </w:t>
      </w:r>
      <w:r w:rsidRPr="00E34E46">
        <w:rPr>
          <w:i/>
        </w:rPr>
        <w:t xml:space="preserve">ISO 10845-1:2020(en) Construction </w:t>
      </w:r>
      <w:proofErr w:type="spellStart"/>
      <w:r w:rsidRPr="00E34E46">
        <w:rPr>
          <w:i/>
        </w:rPr>
        <w:t>procurement</w:t>
      </w:r>
      <w:proofErr w:type="spellEnd"/>
      <w:r w:rsidRPr="00E34E46">
        <w:rPr>
          <w:i/>
        </w:rPr>
        <w:t xml:space="preserve"> — Part 1: </w:t>
      </w:r>
      <w:proofErr w:type="spellStart"/>
      <w:r w:rsidRPr="00E34E46">
        <w:rPr>
          <w:i/>
        </w:rPr>
        <w:t>Processes</w:t>
      </w:r>
      <w:proofErr w:type="spellEnd"/>
      <w:r w:rsidRPr="00E34E46">
        <w:rPr>
          <w:i/>
        </w:rPr>
        <w:t xml:space="preserve">, </w:t>
      </w:r>
      <w:proofErr w:type="spellStart"/>
      <w:r w:rsidRPr="00E34E46">
        <w:rPr>
          <w:i/>
        </w:rPr>
        <w:t>methods</w:t>
      </w:r>
      <w:proofErr w:type="spellEnd"/>
      <w:r w:rsidRPr="00E34E46">
        <w:rPr>
          <w:i/>
        </w:rPr>
        <w:t xml:space="preserve"> and </w:t>
      </w:r>
      <w:proofErr w:type="spellStart"/>
      <w:r w:rsidRPr="00E34E46">
        <w:rPr>
          <w:i/>
        </w:rPr>
        <w:t>procedures</w:t>
      </w:r>
      <w:proofErr w:type="spellEnd"/>
      <w:r w:rsidRPr="00E34E46">
        <w:t xml:space="preserve">. En ligne : </w:t>
      </w:r>
      <w:hyperlink r:id="rId69" w:anchor="iso:std:iso:10845:-1:ed-2:v1:en" w:history="1">
        <w:r w:rsidRPr="00E34E46">
          <w:rPr>
            <w:rStyle w:val="Hyperlink"/>
          </w:rPr>
          <w:t>https://www.iso.org/obp/ui/#iso:std:iso:10845:-1:ed-2:v1:en</w:t>
        </w:r>
      </w:hyperlink>
      <w:r w:rsidRPr="00E34E46">
        <w:t> </w:t>
      </w:r>
    </w:p>
    <w:p w14:paraId="5233DC0D" w14:textId="77777777" w:rsidR="009C026F" w:rsidRPr="00E34E46" w:rsidRDefault="009C026F" w:rsidP="005243E8">
      <w:pPr>
        <w:pStyle w:val="APABibliography"/>
      </w:pPr>
      <w:r w:rsidRPr="00E34E46">
        <w:t xml:space="preserve">ISO. (2020b, janvier). </w:t>
      </w:r>
      <w:r w:rsidRPr="00E34E46">
        <w:rPr>
          <w:i/>
        </w:rPr>
        <w:t>21801-1:2020 Accessibilité cognitive — Partie 1 : Lignes directrices générales</w:t>
      </w:r>
      <w:r w:rsidRPr="00E34E46">
        <w:t xml:space="preserve">. En ligne : </w:t>
      </w:r>
      <w:hyperlink r:id="rId70" w:history="1">
        <w:r w:rsidRPr="00E34E46">
          <w:rPr>
            <w:rStyle w:val="Hyperlink"/>
          </w:rPr>
          <w:t>https://www.iso.org/fr/standard/71711.html</w:t>
        </w:r>
      </w:hyperlink>
    </w:p>
    <w:p w14:paraId="2A8DB7AA" w14:textId="77777777" w:rsidR="009C026F" w:rsidRPr="00E34E46" w:rsidRDefault="009C026F" w:rsidP="005243E8">
      <w:pPr>
        <w:pStyle w:val="APABibliography"/>
      </w:pPr>
      <w:r w:rsidRPr="00E34E46">
        <w:t xml:space="preserve">ISO. (2021). </w:t>
      </w:r>
      <w:r w:rsidRPr="00E34E46">
        <w:rPr>
          <w:i/>
        </w:rPr>
        <w:t>ISO 30415:2021(</w:t>
      </w:r>
      <w:proofErr w:type="spellStart"/>
      <w:r w:rsidRPr="00E34E46">
        <w:rPr>
          <w:i/>
        </w:rPr>
        <w:t>fr</w:t>
      </w:r>
      <w:proofErr w:type="spellEnd"/>
      <w:r w:rsidRPr="00E34E46">
        <w:rPr>
          <w:i/>
        </w:rPr>
        <w:t>) — Management des ressources humaines — Diversité et inclusion</w:t>
      </w:r>
      <w:r w:rsidRPr="00E34E46">
        <w:t xml:space="preserve">. En ligne : </w:t>
      </w:r>
      <w:hyperlink r:id="rId71" w:anchor="iso:std:iso:30415:ed-1:v1:fr" w:history="1">
        <w:r w:rsidRPr="00E34E46">
          <w:rPr>
            <w:rStyle w:val="Hyperlink"/>
          </w:rPr>
          <w:t>https://www.iso.org/obp/ui/en/#iso:std:iso:30415:ed-1:v1:fr</w:t>
        </w:r>
      </w:hyperlink>
      <w:r w:rsidRPr="00E34E46">
        <w:t> </w:t>
      </w:r>
    </w:p>
    <w:p w14:paraId="19CBBF8A" w14:textId="77777777" w:rsidR="009C026F" w:rsidRPr="00E34E46" w:rsidRDefault="009C026F" w:rsidP="00A9727D">
      <w:pPr>
        <w:pStyle w:val="APABibliography"/>
      </w:pPr>
      <w:r w:rsidRPr="00E34E46">
        <w:t xml:space="preserve">ISO/IEC. (2012). </w:t>
      </w:r>
      <w:r w:rsidRPr="00E34E46">
        <w:rPr>
          <w:i/>
          <w:iCs/>
        </w:rPr>
        <w:t>Technologies de l’information — Règles pour l’accessibilité des contenus Web (WCAG) 2.0</w:t>
      </w:r>
      <w:r w:rsidRPr="00E34E46">
        <w:t xml:space="preserve">. Consulté le 28 mai 2024. En ligne : </w:t>
      </w:r>
      <w:hyperlink r:id="rId72" w:tgtFrame="_blank" w:history="1">
        <w:r w:rsidRPr="00E34E46">
          <w:rPr>
            <w:rStyle w:val="Hyperlink"/>
          </w:rPr>
          <w:t>https://www.iso.org/fr/standard/58625.html</w:t>
        </w:r>
      </w:hyperlink>
      <w:r w:rsidRPr="00E34E46">
        <w:t> </w:t>
      </w:r>
    </w:p>
    <w:p w14:paraId="387FCF40" w14:textId="77777777" w:rsidR="009C026F" w:rsidRPr="00E34E46" w:rsidRDefault="009C026F" w:rsidP="00A9727D">
      <w:pPr>
        <w:pStyle w:val="APABibliography"/>
      </w:pPr>
      <w:r w:rsidRPr="00E34E46">
        <w:lastRenderedPageBreak/>
        <w:t xml:space="preserve">ISO/IEC. (2014). </w:t>
      </w:r>
      <w:r w:rsidRPr="00E34E46">
        <w:rPr>
          <w:i/>
        </w:rPr>
        <w:t>ISO/IEC Guide 71:2014(</w:t>
      </w:r>
      <w:proofErr w:type="spellStart"/>
      <w:r w:rsidRPr="00E34E46">
        <w:rPr>
          <w:i/>
        </w:rPr>
        <w:t>fr</w:t>
      </w:r>
      <w:proofErr w:type="spellEnd"/>
      <w:r w:rsidRPr="00E34E46">
        <w:rPr>
          <w:i/>
        </w:rPr>
        <w:t>) — Guide pour l’intégration de l’accessibilité dans les normes</w:t>
      </w:r>
      <w:r w:rsidRPr="00E34E46">
        <w:t xml:space="preserve">. En ligne : </w:t>
      </w:r>
      <w:hyperlink r:id="rId73" w:anchor="iso:std:iso-iec:guide:71:ed-2:v1:fr" w:history="1">
        <w:r w:rsidRPr="00E34E46">
          <w:rPr>
            <w:rStyle w:val="Hyperlink"/>
          </w:rPr>
          <w:t>https://www.iso.org/obp/ui/en/#iso:std:iso-iec:guide:71:ed-2:v1:fr</w:t>
        </w:r>
      </w:hyperlink>
      <w:r w:rsidRPr="00E34E46">
        <w:t> </w:t>
      </w:r>
    </w:p>
    <w:p w14:paraId="1A3E93FB" w14:textId="77777777" w:rsidR="009C026F" w:rsidRPr="00E34E46" w:rsidRDefault="009C026F" w:rsidP="00A9727D">
      <w:pPr>
        <w:pStyle w:val="APABibliography"/>
      </w:pPr>
      <w:r w:rsidRPr="00E34E46">
        <w:t xml:space="preserve">ISO/IEC/IEEE. (2017). </w:t>
      </w:r>
      <w:r w:rsidRPr="00E34E46">
        <w:rPr>
          <w:i/>
        </w:rPr>
        <w:t xml:space="preserve">ISO/IEC/IEEE 24765:2017(en) — </w:t>
      </w:r>
      <w:proofErr w:type="spellStart"/>
      <w:r w:rsidRPr="00E34E46">
        <w:rPr>
          <w:i/>
        </w:rPr>
        <w:t>Systems</w:t>
      </w:r>
      <w:proofErr w:type="spellEnd"/>
      <w:r w:rsidRPr="00E34E46">
        <w:rPr>
          <w:i/>
        </w:rPr>
        <w:t xml:space="preserve"> and software engineering — </w:t>
      </w:r>
      <w:proofErr w:type="spellStart"/>
      <w:r w:rsidRPr="00E34E46">
        <w:rPr>
          <w:i/>
        </w:rPr>
        <w:t>Vocabulary</w:t>
      </w:r>
      <w:proofErr w:type="spellEnd"/>
      <w:r w:rsidRPr="00E34E46">
        <w:t xml:space="preserve">. En ligne : </w:t>
      </w:r>
      <w:hyperlink r:id="rId74" w:anchor="iso:std:iso-iec-ieee:24765:ed-2:v1:en" w:history="1">
        <w:r w:rsidRPr="00E34E46">
          <w:rPr>
            <w:rStyle w:val="Hyperlink"/>
          </w:rPr>
          <w:t>https://www.iso.org/obp/ui/en/#iso:std:iso-iec-ieee:24765:ed-2:v1:en</w:t>
        </w:r>
      </w:hyperlink>
      <w:r w:rsidRPr="00E34E46">
        <w:t> </w:t>
      </w:r>
    </w:p>
    <w:p w14:paraId="6DBFD3D4" w14:textId="77777777" w:rsidR="009C026F" w:rsidRPr="00E34E46" w:rsidRDefault="009C026F" w:rsidP="003B50D8">
      <w:pPr>
        <w:pStyle w:val="APABibliography"/>
      </w:pPr>
      <w:r w:rsidRPr="00E34E46">
        <w:t xml:space="preserve">ISO/IEC/IEEE. (2023). </w:t>
      </w:r>
      <w:r w:rsidRPr="00E34E46">
        <w:rPr>
          <w:i/>
        </w:rPr>
        <w:t xml:space="preserve">ISO/IEC/IEEE 15288:2023(en) — </w:t>
      </w:r>
      <w:proofErr w:type="spellStart"/>
      <w:r w:rsidRPr="00E34E46">
        <w:rPr>
          <w:i/>
        </w:rPr>
        <w:t>Systems</w:t>
      </w:r>
      <w:proofErr w:type="spellEnd"/>
      <w:r w:rsidRPr="00E34E46">
        <w:rPr>
          <w:i/>
        </w:rPr>
        <w:t xml:space="preserve"> and software engineering — System life cycle </w:t>
      </w:r>
      <w:proofErr w:type="spellStart"/>
      <w:r w:rsidRPr="00E34E46">
        <w:rPr>
          <w:i/>
        </w:rPr>
        <w:t>processes</w:t>
      </w:r>
      <w:proofErr w:type="spellEnd"/>
      <w:r w:rsidRPr="00E34E46">
        <w:t xml:space="preserve">. En ligne : </w:t>
      </w:r>
      <w:hyperlink r:id="rId75" w:anchor="iso:std:iso-iec-ieee:15288:ed-2:v1:en" w:history="1">
        <w:r w:rsidRPr="00E34E46">
          <w:rPr>
            <w:rStyle w:val="Hyperlink"/>
          </w:rPr>
          <w:t>https://www.iso.org/obp/ui/en/#iso:std:iso-iec-ieee:15288:ed-2:v1:en</w:t>
        </w:r>
      </w:hyperlink>
      <w:r w:rsidRPr="00E34E46">
        <w:t> </w:t>
      </w:r>
    </w:p>
    <w:p w14:paraId="732E6F70" w14:textId="0CB5DB3C" w:rsidR="009C026F" w:rsidRPr="00E34E46" w:rsidRDefault="009C026F" w:rsidP="005243E8">
      <w:pPr>
        <w:pStyle w:val="APABibliography"/>
      </w:pPr>
      <w:proofErr w:type="spellStart"/>
      <w:r w:rsidRPr="00E34E46">
        <w:t>Katsaliaki</w:t>
      </w:r>
      <w:proofErr w:type="spellEnd"/>
      <w:r w:rsidRPr="00E34E46">
        <w:t xml:space="preserve">, K., P. </w:t>
      </w:r>
      <w:proofErr w:type="spellStart"/>
      <w:r w:rsidRPr="00E34E46">
        <w:t>Galetsi</w:t>
      </w:r>
      <w:proofErr w:type="spellEnd"/>
      <w:r w:rsidRPr="00E34E46">
        <w:t xml:space="preserve"> et S. Kumar. (2022). « </w:t>
      </w:r>
      <w:proofErr w:type="spellStart"/>
      <w:r w:rsidRPr="00E34E46">
        <w:t>Supply</w:t>
      </w:r>
      <w:proofErr w:type="spellEnd"/>
      <w:r w:rsidRPr="00E34E46">
        <w:t xml:space="preserve"> </w:t>
      </w:r>
      <w:proofErr w:type="spellStart"/>
      <w:r w:rsidRPr="00E34E46">
        <w:t>chain</w:t>
      </w:r>
      <w:proofErr w:type="spellEnd"/>
      <w:r w:rsidRPr="00E34E46">
        <w:t xml:space="preserve"> disruptions and </w:t>
      </w:r>
      <w:proofErr w:type="spellStart"/>
      <w:r w:rsidRPr="00E34E46">
        <w:t>resilience</w:t>
      </w:r>
      <w:proofErr w:type="spellEnd"/>
      <w:r w:rsidRPr="00E34E46">
        <w:t xml:space="preserve">: A major </w:t>
      </w:r>
      <w:proofErr w:type="spellStart"/>
      <w:r w:rsidRPr="00E34E46">
        <w:t>review</w:t>
      </w:r>
      <w:proofErr w:type="spellEnd"/>
      <w:r w:rsidRPr="00E34E46">
        <w:t xml:space="preserve"> and future </w:t>
      </w:r>
      <w:proofErr w:type="spellStart"/>
      <w:r w:rsidRPr="00E34E46">
        <w:t>research</w:t>
      </w:r>
      <w:proofErr w:type="spellEnd"/>
      <w:r w:rsidRPr="00E34E46">
        <w:t xml:space="preserve"> agenda » dans </w:t>
      </w:r>
      <w:proofErr w:type="spellStart"/>
      <w:r w:rsidRPr="00E34E46">
        <w:rPr>
          <w:i/>
        </w:rPr>
        <w:t>Annals</w:t>
      </w:r>
      <w:proofErr w:type="spellEnd"/>
      <w:r w:rsidRPr="00E34E46">
        <w:rPr>
          <w:i/>
        </w:rPr>
        <w:t xml:space="preserve"> of Operations Research</w:t>
      </w:r>
      <w:r w:rsidRPr="00E34E46">
        <w:t xml:space="preserve">, </w:t>
      </w:r>
      <w:r w:rsidRPr="00E34E46">
        <w:rPr>
          <w:i/>
        </w:rPr>
        <w:t>319</w:t>
      </w:r>
      <w:r w:rsidRPr="00E34E46">
        <w:t xml:space="preserve">(1), p. 965-1002. En ligne : </w:t>
      </w:r>
      <w:hyperlink r:id="rId76" w:history="1">
        <w:r w:rsidRPr="00E34E46">
          <w:rPr>
            <w:rStyle w:val="Hyperlink"/>
          </w:rPr>
          <w:t>https://doi.org/10.1007/s10479-020-03912-1</w:t>
        </w:r>
      </w:hyperlink>
    </w:p>
    <w:p w14:paraId="57760C9A" w14:textId="77777777" w:rsidR="009C026F" w:rsidRPr="00E34E46" w:rsidRDefault="009C026F" w:rsidP="00A31366">
      <w:pPr>
        <w:pStyle w:val="APABibliography"/>
      </w:pPr>
      <w:r w:rsidRPr="00E34E46">
        <w:t xml:space="preserve">Lange, S., J. Telgen et F. Schotanus, F. (2014). </w:t>
      </w:r>
      <w:proofErr w:type="spellStart"/>
      <w:r w:rsidRPr="00E34E46">
        <w:rPr>
          <w:i/>
        </w:rPr>
        <w:t>Systematic</w:t>
      </w:r>
      <w:proofErr w:type="spellEnd"/>
      <w:r w:rsidRPr="00E34E46">
        <w:rPr>
          <w:i/>
        </w:rPr>
        <w:t xml:space="preserve"> </w:t>
      </w:r>
      <w:proofErr w:type="spellStart"/>
      <w:r w:rsidRPr="00E34E46">
        <w:rPr>
          <w:i/>
        </w:rPr>
        <w:t>review</w:t>
      </w:r>
      <w:proofErr w:type="spellEnd"/>
      <w:r w:rsidRPr="00E34E46">
        <w:rPr>
          <w:i/>
        </w:rPr>
        <w:t xml:space="preserve"> of 15 </w:t>
      </w:r>
      <w:proofErr w:type="spellStart"/>
      <w:r w:rsidRPr="00E34E46">
        <w:rPr>
          <w:i/>
        </w:rPr>
        <w:t>years</w:t>
      </w:r>
      <w:proofErr w:type="spellEnd"/>
      <w:r w:rsidRPr="00E34E46">
        <w:rPr>
          <w:i/>
        </w:rPr>
        <w:t xml:space="preserve"> of </w:t>
      </w:r>
      <w:proofErr w:type="spellStart"/>
      <w:r w:rsidRPr="00E34E46">
        <w:rPr>
          <w:i/>
        </w:rPr>
        <w:t>scientific</w:t>
      </w:r>
      <w:proofErr w:type="spellEnd"/>
      <w:r w:rsidRPr="00E34E46">
        <w:rPr>
          <w:i/>
        </w:rPr>
        <w:t xml:space="preserve"> </w:t>
      </w:r>
      <w:proofErr w:type="spellStart"/>
      <w:r w:rsidRPr="00E34E46">
        <w:rPr>
          <w:i/>
        </w:rPr>
        <w:t>literature</w:t>
      </w:r>
      <w:proofErr w:type="spellEnd"/>
      <w:r w:rsidRPr="00E34E46">
        <w:rPr>
          <w:i/>
        </w:rPr>
        <w:t xml:space="preserve"> on public </w:t>
      </w:r>
      <w:proofErr w:type="spellStart"/>
      <w:r w:rsidRPr="00E34E46">
        <w:rPr>
          <w:i/>
        </w:rPr>
        <w:t>procurement</w:t>
      </w:r>
      <w:proofErr w:type="spellEnd"/>
      <w:r w:rsidRPr="00E34E46">
        <w:t xml:space="preserve">. </w:t>
      </w:r>
      <w:proofErr w:type="spellStart"/>
      <w:r w:rsidRPr="00E34E46">
        <w:t>University</w:t>
      </w:r>
      <w:proofErr w:type="spellEnd"/>
      <w:r w:rsidRPr="00E34E46">
        <w:t xml:space="preserve"> of </w:t>
      </w:r>
      <w:r w:rsidRPr="00E34E46">
        <w:lastRenderedPageBreak/>
        <w:t xml:space="preserve">Twente. En ligne : </w:t>
      </w:r>
      <w:hyperlink r:id="rId77" w:history="1">
        <w:r w:rsidRPr="00E34E46">
          <w:rPr>
            <w:rStyle w:val="Hyperlink"/>
          </w:rPr>
          <w:t>https://ris.utwente.nl/ws/portalfiles/portal/5541475/Systematic-review-of-15-years-of-scientific-literature-on-public-procurement.pdf</w:t>
        </w:r>
      </w:hyperlink>
    </w:p>
    <w:p w14:paraId="66CE65F5" w14:textId="77777777" w:rsidR="009C026F" w:rsidRPr="00E34E46" w:rsidRDefault="009C026F" w:rsidP="005243E8">
      <w:pPr>
        <w:pStyle w:val="APABibliography"/>
      </w:pPr>
      <w:r w:rsidRPr="00E34E46">
        <w:t xml:space="preserve">Loosemore, M., D. </w:t>
      </w:r>
      <w:proofErr w:type="spellStart"/>
      <w:r w:rsidRPr="00E34E46">
        <w:t>Higgon</w:t>
      </w:r>
      <w:proofErr w:type="spellEnd"/>
      <w:r w:rsidRPr="00E34E46">
        <w:t xml:space="preserve"> et J. Osborne. (2020). « </w:t>
      </w:r>
      <w:proofErr w:type="spellStart"/>
      <w:r w:rsidRPr="00E34E46">
        <w:t>Managing</w:t>
      </w:r>
      <w:proofErr w:type="spellEnd"/>
      <w:r w:rsidRPr="00E34E46">
        <w:t xml:space="preserve"> new social </w:t>
      </w:r>
      <w:proofErr w:type="spellStart"/>
      <w:r w:rsidRPr="00E34E46">
        <w:t>procurement</w:t>
      </w:r>
      <w:proofErr w:type="spellEnd"/>
      <w:r w:rsidRPr="00E34E46">
        <w:t xml:space="preserve"> </w:t>
      </w:r>
      <w:proofErr w:type="spellStart"/>
      <w:r w:rsidRPr="00E34E46">
        <w:t>imperatives</w:t>
      </w:r>
      <w:proofErr w:type="spellEnd"/>
      <w:r w:rsidRPr="00E34E46">
        <w:t xml:space="preserve"> in the </w:t>
      </w:r>
      <w:proofErr w:type="spellStart"/>
      <w:r w:rsidRPr="00E34E46">
        <w:t>Australian</w:t>
      </w:r>
      <w:proofErr w:type="spellEnd"/>
      <w:r w:rsidRPr="00E34E46">
        <w:t xml:space="preserve"> construction </w:t>
      </w:r>
      <w:proofErr w:type="spellStart"/>
      <w:r w:rsidRPr="00E34E46">
        <w:t>industry</w:t>
      </w:r>
      <w:proofErr w:type="spellEnd"/>
      <w:r w:rsidRPr="00E34E46">
        <w:t xml:space="preserve"> » dans </w:t>
      </w:r>
      <w:r w:rsidRPr="00E34E46">
        <w:rPr>
          <w:i/>
        </w:rPr>
        <w:t>Engineering, Construction and Architectural Management</w:t>
      </w:r>
      <w:r w:rsidRPr="00E34E46">
        <w:t xml:space="preserve">, </w:t>
      </w:r>
      <w:r w:rsidRPr="00E34E46">
        <w:rPr>
          <w:i/>
        </w:rPr>
        <w:t>27</w:t>
      </w:r>
      <w:r w:rsidRPr="00E34E46">
        <w:t>(10), p. 3075-3093.</w:t>
      </w:r>
    </w:p>
    <w:p w14:paraId="172A4511" w14:textId="1888BF02" w:rsidR="009C026F" w:rsidRPr="00E34E46" w:rsidRDefault="009C026F" w:rsidP="005243E8">
      <w:pPr>
        <w:pStyle w:val="APABibliography"/>
      </w:pPr>
      <w:r w:rsidRPr="00E34E46">
        <w:t xml:space="preserve">Loosemore, M., S. </w:t>
      </w:r>
      <w:proofErr w:type="spellStart"/>
      <w:r w:rsidRPr="00E34E46">
        <w:t>Alkilani</w:t>
      </w:r>
      <w:proofErr w:type="spellEnd"/>
      <w:r w:rsidRPr="00E34E46">
        <w:t xml:space="preserve"> et R. Mathenge. (2020). « The </w:t>
      </w:r>
      <w:proofErr w:type="spellStart"/>
      <w:r w:rsidRPr="00E34E46">
        <w:t>risks</w:t>
      </w:r>
      <w:proofErr w:type="spellEnd"/>
      <w:r w:rsidRPr="00E34E46">
        <w:t xml:space="preserve"> of and </w:t>
      </w:r>
      <w:proofErr w:type="spellStart"/>
      <w:r w:rsidRPr="00E34E46">
        <w:t>barriers</w:t>
      </w:r>
      <w:proofErr w:type="spellEnd"/>
      <w:r w:rsidRPr="00E34E46">
        <w:t xml:space="preserve"> to social </w:t>
      </w:r>
      <w:proofErr w:type="spellStart"/>
      <w:r w:rsidRPr="00E34E46">
        <w:t>procurement</w:t>
      </w:r>
      <w:proofErr w:type="spellEnd"/>
      <w:r w:rsidRPr="00E34E46">
        <w:t xml:space="preserve"> in construction: A </w:t>
      </w:r>
      <w:proofErr w:type="spellStart"/>
      <w:r w:rsidRPr="00E34E46">
        <w:t>supply</w:t>
      </w:r>
      <w:proofErr w:type="spellEnd"/>
      <w:r w:rsidRPr="00E34E46">
        <w:t xml:space="preserve"> </w:t>
      </w:r>
      <w:proofErr w:type="spellStart"/>
      <w:r w:rsidRPr="00E34E46">
        <w:t>chain</w:t>
      </w:r>
      <w:proofErr w:type="spellEnd"/>
      <w:r w:rsidRPr="00E34E46">
        <w:t xml:space="preserve"> perspective » dans </w:t>
      </w:r>
      <w:r w:rsidRPr="00E34E46">
        <w:rPr>
          <w:i/>
        </w:rPr>
        <w:t xml:space="preserve">Construction Management &amp; </w:t>
      </w:r>
      <w:proofErr w:type="spellStart"/>
      <w:r w:rsidRPr="00E34E46">
        <w:rPr>
          <w:i/>
        </w:rPr>
        <w:t>Economics</w:t>
      </w:r>
      <w:proofErr w:type="spellEnd"/>
      <w:r w:rsidRPr="00E34E46">
        <w:t xml:space="preserve">, </w:t>
      </w:r>
      <w:r w:rsidRPr="00E34E46">
        <w:rPr>
          <w:i/>
        </w:rPr>
        <w:t>38</w:t>
      </w:r>
      <w:r w:rsidRPr="00E34E46">
        <w:t xml:space="preserve">(6), p. 552-569. En ligne : </w:t>
      </w:r>
      <w:hyperlink r:id="rId78" w:history="1">
        <w:r w:rsidRPr="00E34E46">
          <w:rPr>
            <w:rStyle w:val="Hyperlink"/>
          </w:rPr>
          <w:t>https://doi.org/10.1080/01446193.2019.1687923</w:t>
        </w:r>
      </w:hyperlink>
    </w:p>
    <w:p w14:paraId="4BA86794" w14:textId="77777777" w:rsidR="009C026F" w:rsidRPr="00E34E46" w:rsidRDefault="009C026F" w:rsidP="005243E8">
      <w:pPr>
        <w:pStyle w:val="APABibliography"/>
      </w:pPr>
      <w:r w:rsidRPr="00E34E46">
        <w:t xml:space="preserve">Mahoney, L.S., L. Thorne, L. Cecil et W. LaGore. (2013). « A </w:t>
      </w:r>
      <w:proofErr w:type="spellStart"/>
      <w:r w:rsidRPr="00E34E46">
        <w:t>research</w:t>
      </w:r>
      <w:proofErr w:type="spellEnd"/>
      <w:r w:rsidRPr="00E34E46">
        <w:t xml:space="preserve"> note on standalone </w:t>
      </w:r>
      <w:proofErr w:type="spellStart"/>
      <w:r w:rsidRPr="00E34E46">
        <w:t>corporate</w:t>
      </w:r>
      <w:proofErr w:type="spellEnd"/>
      <w:r w:rsidRPr="00E34E46">
        <w:t xml:space="preserve"> social </w:t>
      </w:r>
      <w:proofErr w:type="spellStart"/>
      <w:r w:rsidRPr="00E34E46">
        <w:t>responsibility</w:t>
      </w:r>
      <w:proofErr w:type="spellEnd"/>
      <w:r w:rsidRPr="00E34E46">
        <w:t xml:space="preserve"> reports: </w:t>
      </w:r>
      <w:proofErr w:type="spellStart"/>
      <w:r w:rsidRPr="00E34E46">
        <w:t>Signaling</w:t>
      </w:r>
      <w:proofErr w:type="spellEnd"/>
      <w:r w:rsidRPr="00E34E46">
        <w:t xml:space="preserve"> or greenwashing? » dans </w:t>
      </w:r>
      <w:r w:rsidRPr="00E34E46">
        <w:rPr>
          <w:i/>
        </w:rPr>
        <w:t>Critical Perspectives on Accounting</w:t>
      </w:r>
      <w:r w:rsidRPr="00E34E46">
        <w:t xml:space="preserve">, </w:t>
      </w:r>
      <w:r w:rsidRPr="00E34E46">
        <w:rPr>
          <w:i/>
        </w:rPr>
        <w:t>24</w:t>
      </w:r>
      <w:r w:rsidRPr="00E34E46">
        <w:t xml:space="preserve">(4), p. 350-359. En ligne : </w:t>
      </w:r>
      <w:hyperlink r:id="rId79" w:history="1">
        <w:r w:rsidRPr="00E34E46">
          <w:rPr>
            <w:rStyle w:val="Hyperlink"/>
          </w:rPr>
          <w:t>https://doi.org/10.1016/j.cpa.2012.09.008</w:t>
        </w:r>
      </w:hyperlink>
    </w:p>
    <w:p w14:paraId="169A80C5" w14:textId="0E585522" w:rsidR="009C026F" w:rsidRPr="00E34E46" w:rsidRDefault="009C026F" w:rsidP="005243E8">
      <w:pPr>
        <w:pStyle w:val="APABibliography"/>
      </w:pPr>
      <w:proofErr w:type="spellStart"/>
      <w:r w:rsidRPr="00E34E46">
        <w:lastRenderedPageBreak/>
        <w:t>Malacina</w:t>
      </w:r>
      <w:proofErr w:type="spellEnd"/>
      <w:r w:rsidRPr="00E34E46">
        <w:t xml:space="preserve">, I., E. Karttunen, A. Jääskeläinen, K. </w:t>
      </w:r>
      <w:proofErr w:type="spellStart"/>
      <w:r w:rsidRPr="00E34E46">
        <w:t>Lintukangas</w:t>
      </w:r>
      <w:proofErr w:type="spellEnd"/>
      <w:r w:rsidRPr="00E34E46">
        <w:t>, J. Heikkilä et A.-K. Kähkönen. (2022). « </w:t>
      </w:r>
      <w:proofErr w:type="spellStart"/>
      <w:r w:rsidRPr="00E34E46">
        <w:t>Capturing</w:t>
      </w:r>
      <w:proofErr w:type="spellEnd"/>
      <w:r w:rsidRPr="00E34E46">
        <w:t xml:space="preserve"> the value </w:t>
      </w:r>
      <w:proofErr w:type="spellStart"/>
      <w:r w:rsidRPr="00E34E46">
        <w:t>creation</w:t>
      </w:r>
      <w:proofErr w:type="spellEnd"/>
      <w:r w:rsidRPr="00E34E46">
        <w:t xml:space="preserve"> in public </w:t>
      </w:r>
      <w:proofErr w:type="spellStart"/>
      <w:r w:rsidRPr="00E34E46">
        <w:t>procurement</w:t>
      </w:r>
      <w:proofErr w:type="spellEnd"/>
      <w:r w:rsidRPr="00E34E46">
        <w:t>: A practice-</w:t>
      </w:r>
      <w:proofErr w:type="spellStart"/>
      <w:r w:rsidRPr="00E34E46">
        <w:t>based</w:t>
      </w:r>
      <w:proofErr w:type="spellEnd"/>
      <w:r w:rsidRPr="00E34E46">
        <w:t xml:space="preserve"> </w:t>
      </w:r>
      <w:proofErr w:type="spellStart"/>
      <w:r w:rsidRPr="00E34E46">
        <w:t>view</w:t>
      </w:r>
      <w:proofErr w:type="spellEnd"/>
      <w:r w:rsidRPr="00E34E46">
        <w:t xml:space="preserve"> » dans </w:t>
      </w:r>
      <w:r w:rsidRPr="00E34E46">
        <w:rPr>
          <w:i/>
        </w:rPr>
        <w:t xml:space="preserve">Journal of </w:t>
      </w:r>
      <w:proofErr w:type="spellStart"/>
      <w:r w:rsidRPr="00E34E46">
        <w:rPr>
          <w:i/>
        </w:rPr>
        <w:t>Purchasing</w:t>
      </w:r>
      <w:proofErr w:type="spellEnd"/>
      <w:r w:rsidRPr="00E34E46">
        <w:rPr>
          <w:i/>
        </w:rPr>
        <w:t xml:space="preserve"> and </w:t>
      </w:r>
      <w:proofErr w:type="spellStart"/>
      <w:r w:rsidRPr="00E34E46">
        <w:rPr>
          <w:i/>
        </w:rPr>
        <w:t>Supply</w:t>
      </w:r>
      <w:proofErr w:type="spellEnd"/>
      <w:r w:rsidRPr="00E34E46">
        <w:rPr>
          <w:i/>
        </w:rPr>
        <w:t xml:space="preserve"> Management</w:t>
      </w:r>
      <w:r w:rsidRPr="00E34E46">
        <w:t xml:space="preserve">, </w:t>
      </w:r>
      <w:r w:rsidRPr="00E34E46">
        <w:rPr>
          <w:i/>
        </w:rPr>
        <w:t>28</w:t>
      </w:r>
      <w:r w:rsidRPr="00E34E46">
        <w:t xml:space="preserve">(2), 100745. En ligne : </w:t>
      </w:r>
      <w:hyperlink r:id="rId80" w:history="1">
        <w:r w:rsidRPr="00E34E46">
          <w:rPr>
            <w:rStyle w:val="Hyperlink"/>
          </w:rPr>
          <w:t>https://doi.org/10.1016/j.pursup.2021.100745</w:t>
        </w:r>
      </w:hyperlink>
    </w:p>
    <w:p w14:paraId="404ABD8A" w14:textId="77777777" w:rsidR="009C026F" w:rsidRPr="00E34E46" w:rsidRDefault="009C026F" w:rsidP="005243E8">
      <w:pPr>
        <w:pStyle w:val="APABibliography"/>
      </w:pPr>
      <w:r w:rsidRPr="00E34E46">
        <w:t xml:space="preserve">McKinsey and Company. (17 août 2022). </w:t>
      </w:r>
      <w:proofErr w:type="spellStart"/>
      <w:r w:rsidRPr="00E34E46">
        <w:rPr>
          <w:i/>
        </w:rPr>
        <w:t>What</w:t>
      </w:r>
      <w:proofErr w:type="spellEnd"/>
      <w:r w:rsidRPr="00E34E46">
        <w:rPr>
          <w:i/>
        </w:rPr>
        <w:t xml:space="preserve"> </w:t>
      </w:r>
      <w:proofErr w:type="spellStart"/>
      <w:r w:rsidRPr="00E34E46">
        <w:rPr>
          <w:i/>
        </w:rPr>
        <w:t>is</w:t>
      </w:r>
      <w:proofErr w:type="spellEnd"/>
      <w:r w:rsidRPr="00E34E46">
        <w:rPr>
          <w:i/>
        </w:rPr>
        <w:t xml:space="preserve"> </w:t>
      </w:r>
      <w:proofErr w:type="spellStart"/>
      <w:r w:rsidRPr="00E34E46">
        <w:rPr>
          <w:i/>
        </w:rPr>
        <w:t>diversity</w:t>
      </w:r>
      <w:proofErr w:type="spellEnd"/>
      <w:r w:rsidRPr="00E34E46">
        <w:rPr>
          <w:i/>
        </w:rPr>
        <w:t xml:space="preserve">, </w:t>
      </w:r>
      <w:proofErr w:type="spellStart"/>
      <w:r w:rsidRPr="00E34E46">
        <w:rPr>
          <w:i/>
        </w:rPr>
        <w:t>equity</w:t>
      </w:r>
      <w:proofErr w:type="spellEnd"/>
      <w:r w:rsidRPr="00E34E46">
        <w:rPr>
          <w:i/>
        </w:rPr>
        <w:t>, and inclusion?</w:t>
      </w:r>
      <w:r w:rsidRPr="00E34E46">
        <w:t xml:space="preserve"> McKinsey and Company. </w:t>
      </w:r>
      <w:hyperlink r:id="rId81" w:history="1">
        <w:r w:rsidRPr="00E34E46">
          <w:rPr>
            <w:rStyle w:val="Hyperlink"/>
          </w:rPr>
          <w:t>https://www.mckinsey.com/featured-insights/mckinsey-explainers/what-is-diversity-equity-and-inclusion</w:t>
        </w:r>
      </w:hyperlink>
    </w:p>
    <w:p w14:paraId="0E5624E9" w14:textId="641A332E" w:rsidR="009C026F" w:rsidRPr="00E34E46" w:rsidRDefault="009C026F" w:rsidP="005243E8">
      <w:pPr>
        <w:pStyle w:val="APABibliography"/>
      </w:pPr>
      <w:proofErr w:type="spellStart"/>
      <w:r w:rsidRPr="00E34E46">
        <w:t>Migone</w:t>
      </w:r>
      <w:proofErr w:type="spellEnd"/>
      <w:r w:rsidRPr="00E34E46">
        <w:t>, A., A. Howlett et M. Howlett. (2022). « (Mis)</w:t>
      </w:r>
      <w:proofErr w:type="spellStart"/>
      <w:r w:rsidRPr="00E34E46">
        <w:t>aligning</w:t>
      </w:r>
      <w:proofErr w:type="spellEnd"/>
      <w:r w:rsidRPr="00E34E46">
        <w:t xml:space="preserve"> </w:t>
      </w:r>
      <w:proofErr w:type="spellStart"/>
      <w:r w:rsidRPr="00E34E46">
        <w:t>politicians</w:t>
      </w:r>
      <w:proofErr w:type="spellEnd"/>
      <w:r w:rsidRPr="00E34E46">
        <w:t xml:space="preserve"> and </w:t>
      </w:r>
      <w:proofErr w:type="spellStart"/>
      <w:r w:rsidRPr="00E34E46">
        <w:t>admirals</w:t>
      </w:r>
      <w:proofErr w:type="spellEnd"/>
      <w:r w:rsidRPr="00E34E46">
        <w:t xml:space="preserve">: The </w:t>
      </w:r>
      <w:proofErr w:type="spellStart"/>
      <w:r w:rsidRPr="00E34E46">
        <w:t>problems</w:t>
      </w:r>
      <w:proofErr w:type="spellEnd"/>
      <w:r w:rsidRPr="00E34E46">
        <w:t xml:space="preserve"> of long-</w:t>
      </w:r>
      <w:proofErr w:type="spellStart"/>
      <w:r w:rsidRPr="00E34E46">
        <w:t>term</w:t>
      </w:r>
      <w:proofErr w:type="spellEnd"/>
      <w:r w:rsidRPr="00E34E46">
        <w:t xml:space="preserve"> </w:t>
      </w:r>
      <w:proofErr w:type="spellStart"/>
      <w:r w:rsidRPr="00E34E46">
        <w:t>procurement</w:t>
      </w:r>
      <w:proofErr w:type="spellEnd"/>
      <w:r w:rsidRPr="00E34E46">
        <w:t xml:space="preserve"> in the Canadian Surface </w:t>
      </w:r>
      <w:proofErr w:type="spellStart"/>
      <w:r w:rsidRPr="00E34E46">
        <w:t>Combatant</w:t>
      </w:r>
      <w:proofErr w:type="spellEnd"/>
      <w:r w:rsidRPr="00E34E46">
        <w:t xml:space="preserve"> </w:t>
      </w:r>
      <w:proofErr w:type="spellStart"/>
      <w:r w:rsidRPr="00E34E46">
        <w:t>project</w:t>
      </w:r>
      <w:proofErr w:type="spellEnd"/>
      <w:r w:rsidRPr="00E34E46">
        <w:t xml:space="preserve"> 1994-2021 » dans </w:t>
      </w:r>
      <w:r w:rsidRPr="00E34E46">
        <w:rPr>
          <w:i/>
        </w:rPr>
        <w:t>Canadian Public Administration</w:t>
      </w:r>
      <w:r w:rsidRPr="00E34E46">
        <w:t xml:space="preserve">, </w:t>
      </w:r>
      <w:r w:rsidRPr="00E34E46">
        <w:rPr>
          <w:i/>
        </w:rPr>
        <w:t>65</w:t>
      </w:r>
      <w:r w:rsidRPr="00E34E46">
        <w:t xml:space="preserve">(1), p. 28-51. En ligne : </w:t>
      </w:r>
      <w:hyperlink r:id="rId82" w:history="1">
        <w:r w:rsidRPr="00E34E46">
          <w:rPr>
            <w:rStyle w:val="Hyperlink"/>
          </w:rPr>
          <w:t>https://doi.org/10.1111/capa.12449</w:t>
        </w:r>
      </w:hyperlink>
    </w:p>
    <w:p w14:paraId="19D2C6F4" w14:textId="0ABCD1C9" w:rsidR="009C026F" w:rsidRPr="00E34E46" w:rsidRDefault="009C026F" w:rsidP="005243E8">
      <w:pPr>
        <w:pStyle w:val="APABibliography"/>
      </w:pPr>
      <w:r w:rsidRPr="00E34E46">
        <w:t>Montag, L. (2023). « </w:t>
      </w:r>
      <w:proofErr w:type="spellStart"/>
      <w:r w:rsidRPr="00E34E46">
        <w:t>Circular</w:t>
      </w:r>
      <w:proofErr w:type="spellEnd"/>
      <w:r w:rsidRPr="00E34E46">
        <w:t xml:space="preserve"> Economy and </w:t>
      </w:r>
      <w:proofErr w:type="spellStart"/>
      <w:r w:rsidRPr="00E34E46">
        <w:t>Supply</w:t>
      </w:r>
      <w:proofErr w:type="spellEnd"/>
      <w:r w:rsidRPr="00E34E46">
        <w:t xml:space="preserve"> </w:t>
      </w:r>
      <w:proofErr w:type="spellStart"/>
      <w:r w:rsidRPr="00E34E46">
        <w:t>Chains</w:t>
      </w:r>
      <w:proofErr w:type="spellEnd"/>
      <w:r w:rsidRPr="00E34E46">
        <w:t xml:space="preserve">: </w:t>
      </w:r>
      <w:proofErr w:type="spellStart"/>
      <w:r w:rsidRPr="00E34E46">
        <w:t>Definitions</w:t>
      </w:r>
      <w:proofErr w:type="spellEnd"/>
      <w:r w:rsidRPr="00E34E46">
        <w:t xml:space="preserve">, </w:t>
      </w:r>
      <w:proofErr w:type="spellStart"/>
      <w:r w:rsidRPr="00E34E46">
        <w:t>Conceptualizations</w:t>
      </w:r>
      <w:proofErr w:type="spellEnd"/>
      <w:r w:rsidRPr="00E34E46">
        <w:t xml:space="preserve">, and Research Agenda of the </w:t>
      </w:r>
      <w:proofErr w:type="spellStart"/>
      <w:r w:rsidRPr="00E34E46">
        <w:t>Circular</w:t>
      </w:r>
      <w:proofErr w:type="spellEnd"/>
      <w:r w:rsidRPr="00E34E46">
        <w:t xml:space="preserve"> </w:t>
      </w:r>
      <w:proofErr w:type="spellStart"/>
      <w:r w:rsidRPr="00E34E46">
        <w:t>Supply</w:t>
      </w:r>
      <w:proofErr w:type="spellEnd"/>
      <w:r w:rsidRPr="00E34E46">
        <w:t xml:space="preserve"> Chain </w:t>
      </w:r>
      <w:r w:rsidRPr="00E34E46">
        <w:lastRenderedPageBreak/>
        <w:t xml:space="preserve">Framework » dans </w:t>
      </w:r>
      <w:proofErr w:type="spellStart"/>
      <w:r w:rsidRPr="00E34E46">
        <w:rPr>
          <w:i/>
        </w:rPr>
        <w:t>Circular</w:t>
      </w:r>
      <w:proofErr w:type="spellEnd"/>
      <w:r w:rsidRPr="00E34E46">
        <w:rPr>
          <w:i/>
        </w:rPr>
        <w:t xml:space="preserve"> Economy and </w:t>
      </w:r>
      <w:proofErr w:type="spellStart"/>
      <w:r w:rsidRPr="00E34E46">
        <w:rPr>
          <w:i/>
        </w:rPr>
        <w:t>Sustainability</w:t>
      </w:r>
      <w:proofErr w:type="spellEnd"/>
      <w:r w:rsidRPr="00E34E46">
        <w:t xml:space="preserve">, </w:t>
      </w:r>
      <w:r w:rsidRPr="00E34E46">
        <w:rPr>
          <w:i/>
        </w:rPr>
        <w:t>3</w:t>
      </w:r>
      <w:r w:rsidRPr="00E34E46">
        <w:t xml:space="preserve">(1), p. 35-75. En ligne : </w:t>
      </w:r>
      <w:hyperlink r:id="rId83" w:history="1">
        <w:r w:rsidRPr="00E34E46">
          <w:rPr>
            <w:rStyle w:val="Hyperlink"/>
          </w:rPr>
          <w:t>https://doi.org/10.1007/s43615-022-00172-y</w:t>
        </w:r>
      </w:hyperlink>
    </w:p>
    <w:p w14:paraId="46273CFB" w14:textId="77777777" w:rsidR="009C026F" w:rsidRPr="00E34E46" w:rsidRDefault="009C026F" w:rsidP="005243E8">
      <w:pPr>
        <w:pStyle w:val="APABibliography"/>
        <w:rPr>
          <w:u w:val="single"/>
        </w:rPr>
      </w:pPr>
      <w:r w:rsidRPr="00E34E46">
        <w:t xml:space="preserve">NAC (31 mai 2024). « Normes d’accessibilité Canada adopte la norme d’accessibilité mondialement reconnue pour les produits et services TIC ». Communiqué de presse du gouvernement du Canada. En ligne : </w:t>
      </w:r>
      <w:hyperlink r:id="rId84" w:history="1">
        <w:r w:rsidRPr="00E34E46">
          <w:rPr>
            <w:rStyle w:val="Hyperlink"/>
          </w:rPr>
          <w:t>https://accessibilite.canada.ca/nouvelles/normes-accessibilité-canada-adopte-norme-accessibilité-mondialement-reconnue-pour-produits-services-TIC</w:t>
        </w:r>
      </w:hyperlink>
    </w:p>
    <w:p w14:paraId="6A5B47D1" w14:textId="4ABE725B" w:rsidR="009C026F" w:rsidRPr="00E34E46" w:rsidRDefault="009C026F" w:rsidP="00127D08">
      <w:pPr>
        <w:pStyle w:val="APABibliography"/>
        <w:rPr>
          <w:rFonts w:cs="Segoe UI"/>
        </w:rPr>
      </w:pPr>
      <w:r w:rsidRPr="00E34E46">
        <w:t xml:space="preserve">Nations Unies. (Juin 2019). </w:t>
      </w:r>
      <w:r w:rsidRPr="00E34E46">
        <w:rPr>
          <w:i/>
        </w:rPr>
        <w:t>Stratégie des Nations Unies pour l’inclusion du handicap</w:t>
      </w:r>
      <w:r w:rsidRPr="00E34E46">
        <w:t xml:space="preserve">. En ligne : </w:t>
      </w:r>
      <w:hyperlink r:id="rId85" w:history="1">
        <w:r w:rsidRPr="00E34E46">
          <w:rPr>
            <w:rStyle w:val="Hyperlink"/>
          </w:rPr>
          <w:t>https://www.un.org/en/content/disabilitystrategy/assets/documentation/UN_Disability_Inclusion_Strategy_french.pdf</w:t>
        </w:r>
      </w:hyperlink>
    </w:p>
    <w:p w14:paraId="4ADF0693" w14:textId="77777777" w:rsidR="009C026F" w:rsidRPr="00E34E46" w:rsidRDefault="009C026F" w:rsidP="00A0231F">
      <w:pPr>
        <w:pStyle w:val="APABibliography"/>
      </w:pPr>
      <w:r w:rsidRPr="00E34E46">
        <w:t>Nations Unies. (</w:t>
      </w:r>
      <w:proofErr w:type="gramStart"/>
      <w:r w:rsidRPr="00E34E46">
        <w:t>s.</w:t>
      </w:r>
      <w:proofErr w:type="gramEnd"/>
      <w:r w:rsidRPr="00E34E46">
        <w:t xml:space="preserve"> d.-a). </w:t>
      </w:r>
      <w:r w:rsidRPr="00E34E46">
        <w:rPr>
          <w:i/>
        </w:rPr>
        <w:t>Article 2 – Définitions</w:t>
      </w:r>
      <w:r w:rsidRPr="00E34E46">
        <w:t xml:space="preserve">. Département des affaires économiques et sociales des Nations Unies : Handicap. En ligne : </w:t>
      </w:r>
      <w:hyperlink r:id="rId86" w:history="1">
        <w:r w:rsidRPr="00E34E46">
          <w:rPr>
            <w:rStyle w:val="Hyperlink"/>
          </w:rPr>
          <w:t>https://social.desa.un.org/issues/disability/crpd/article-2-definitions</w:t>
        </w:r>
      </w:hyperlink>
    </w:p>
    <w:p w14:paraId="690C1396" w14:textId="155AFB5A" w:rsidR="009C026F" w:rsidRPr="00E34E46" w:rsidRDefault="009C026F" w:rsidP="00127D08">
      <w:pPr>
        <w:pStyle w:val="APABibliography"/>
      </w:pPr>
      <w:r w:rsidRPr="00E34E46">
        <w:t>Nations Unies. (</w:t>
      </w:r>
      <w:proofErr w:type="gramStart"/>
      <w:r w:rsidRPr="00E34E46">
        <w:t>s.</w:t>
      </w:r>
      <w:proofErr w:type="gramEnd"/>
      <w:r w:rsidRPr="00E34E46">
        <w:t> d.-</w:t>
      </w:r>
      <w:r w:rsidR="00793E2A">
        <w:t>b</w:t>
      </w:r>
      <w:r w:rsidRPr="00E34E46">
        <w:t xml:space="preserve">). </w:t>
      </w:r>
      <w:r w:rsidRPr="00E34E46">
        <w:rPr>
          <w:i/>
          <w:iCs/>
        </w:rPr>
        <w:t>Indicateurs des ODD</w:t>
      </w:r>
      <w:r w:rsidRPr="00E34E46">
        <w:t xml:space="preserve">. Consulté le 28 mai 2024. En ligne : </w:t>
      </w:r>
      <w:hyperlink r:id="rId87" w:tgtFrame="_blank" w:history="1">
        <w:r w:rsidRPr="00E34E46">
          <w:rPr>
            <w:rStyle w:val="Hyperlink"/>
          </w:rPr>
          <w:t>https://unstats.un.org/sdgs/metadata/?Text=&amp;Goal=8&amp;Target=</w:t>
        </w:r>
      </w:hyperlink>
    </w:p>
    <w:p w14:paraId="0F5847B3" w14:textId="398BDB5E" w:rsidR="009C026F" w:rsidRPr="00E34E46" w:rsidRDefault="009C026F" w:rsidP="005243E8">
      <w:pPr>
        <w:pStyle w:val="APABibliography"/>
      </w:pPr>
      <w:r w:rsidRPr="00E34E46">
        <w:lastRenderedPageBreak/>
        <w:t>O’Reilly, F. (2020). « The VPAT as an e-</w:t>
      </w:r>
      <w:proofErr w:type="spellStart"/>
      <w:r w:rsidRPr="00E34E46">
        <w:t>resources</w:t>
      </w:r>
      <w:proofErr w:type="spellEnd"/>
      <w:r w:rsidRPr="00E34E46">
        <w:t xml:space="preserve"> </w:t>
      </w:r>
      <w:proofErr w:type="spellStart"/>
      <w:r w:rsidRPr="00E34E46">
        <w:t>assessment</w:t>
      </w:r>
      <w:proofErr w:type="spellEnd"/>
      <w:r w:rsidRPr="00E34E46">
        <w:t xml:space="preserve"> </w:t>
      </w:r>
      <w:proofErr w:type="spellStart"/>
      <w:r w:rsidRPr="00E34E46">
        <w:t>tool</w:t>
      </w:r>
      <w:proofErr w:type="spellEnd"/>
      <w:r w:rsidRPr="00E34E46">
        <w:t xml:space="preserve">: Putting </w:t>
      </w:r>
      <w:proofErr w:type="spellStart"/>
      <w:r w:rsidRPr="00E34E46">
        <w:t>accessibility</w:t>
      </w:r>
      <w:proofErr w:type="spellEnd"/>
      <w:r w:rsidRPr="00E34E46">
        <w:t xml:space="preserve"> to the test » dans </w:t>
      </w:r>
      <w:r w:rsidRPr="00E34E46">
        <w:rPr>
          <w:i/>
        </w:rPr>
        <w:t xml:space="preserve">Journal of </w:t>
      </w:r>
      <w:proofErr w:type="spellStart"/>
      <w:r w:rsidRPr="00E34E46">
        <w:rPr>
          <w:i/>
        </w:rPr>
        <w:t>Electronic</w:t>
      </w:r>
      <w:proofErr w:type="spellEnd"/>
      <w:r w:rsidRPr="00E34E46">
        <w:rPr>
          <w:i/>
        </w:rPr>
        <w:t xml:space="preserve"> </w:t>
      </w:r>
      <w:proofErr w:type="spellStart"/>
      <w:r w:rsidRPr="00E34E46">
        <w:rPr>
          <w:i/>
        </w:rPr>
        <w:t>Resources</w:t>
      </w:r>
      <w:proofErr w:type="spellEnd"/>
      <w:r w:rsidRPr="00E34E46">
        <w:rPr>
          <w:i/>
        </w:rPr>
        <w:t xml:space="preserve"> </w:t>
      </w:r>
      <w:proofErr w:type="spellStart"/>
      <w:r w:rsidRPr="00E34E46">
        <w:rPr>
          <w:i/>
        </w:rPr>
        <w:t>Librarianship</w:t>
      </w:r>
      <w:proofErr w:type="spellEnd"/>
      <w:r w:rsidRPr="00E34E46">
        <w:t xml:space="preserve">, </w:t>
      </w:r>
      <w:r w:rsidRPr="00E34E46">
        <w:rPr>
          <w:i/>
        </w:rPr>
        <w:t>32</w:t>
      </w:r>
      <w:r w:rsidRPr="00E34E46">
        <w:t>(1), p. 52-63.</w:t>
      </w:r>
    </w:p>
    <w:p w14:paraId="48C34836" w14:textId="6087DAFF" w:rsidR="009C026F" w:rsidRPr="00E34E46" w:rsidRDefault="009C026F" w:rsidP="005243E8">
      <w:pPr>
        <w:pStyle w:val="APABibliography"/>
      </w:pPr>
      <w:proofErr w:type="spellStart"/>
      <w:r w:rsidRPr="00E34E46">
        <w:t>Obwegeser</w:t>
      </w:r>
      <w:proofErr w:type="spellEnd"/>
      <w:r w:rsidRPr="00E34E46">
        <w:t xml:space="preserve">, N. et S.D. Müller. (2018). « Innovation and public </w:t>
      </w:r>
      <w:proofErr w:type="spellStart"/>
      <w:r w:rsidRPr="00E34E46">
        <w:t>procurement</w:t>
      </w:r>
      <w:proofErr w:type="spellEnd"/>
      <w:r w:rsidRPr="00E34E46">
        <w:t xml:space="preserve">: </w:t>
      </w:r>
      <w:proofErr w:type="spellStart"/>
      <w:r w:rsidRPr="00E34E46">
        <w:t>Terminology</w:t>
      </w:r>
      <w:proofErr w:type="spellEnd"/>
      <w:r w:rsidRPr="00E34E46">
        <w:t xml:space="preserve">, concepts, and applications » dans </w:t>
      </w:r>
      <w:proofErr w:type="spellStart"/>
      <w:r w:rsidRPr="00E34E46">
        <w:rPr>
          <w:i/>
        </w:rPr>
        <w:t>Technovation</w:t>
      </w:r>
      <w:proofErr w:type="spellEnd"/>
      <w:r w:rsidRPr="00E34E46">
        <w:t xml:space="preserve">, </w:t>
      </w:r>
      <w:r w:rsidRPr="00E34E46">
        <w:rPr>
          <w:i/>
        </w:rPr>
        <w:t>74–75</w:t>
      </w:r>
      <w:r w:rsidRPr="00E34E46">
        <w:t xml:space="preserve">, p. 1-17. En ligne : </w:t>
      </w:r>
      <w:hyperlink r:id="rId88" w:history="1">
        <w:r w:rsidRPr="00E34E46">
          <w:rPr>
            <w:rStyle w:val="Hyperlink"/>
          </w:rPr>
          <w:t>https://doi.org/10.1016/j.technovation.2018.02.015</w:t>
        </w:r>
      </w:hyperlink>
    </w:p>
    <w:p w14:paraId="06B62393" w14:textId="56E94BFE" w:rsidR="009C026F" w:rsidRPr="00E34E46" w:rsidRDefault="009C026F" w:rsidP="005243E8">
      <w:pPr>
        <w:pStyle w:val="APABibliography"/>
      </w:pPr>
      <w:r w:rsidRPr="00E34E46">
        <w:t xml:space="preserve">Oxford English </w:t>
      </w:r>
      <w:proofErr w:type="spellStart"/>
      <w:r w:rsidRPr="00E34E46">
        <w:t>Dictionary</w:t>
      </w:r>
      <w:proofErr w:type="spellEnd"/>
      <w:r w:rsidRPr="00E34E46">
        <w:t xml:space="preserve">. (2016). </w:t>
      </w:r>
      <w:proofErr w:type="spellStart"/>
      <w:r w:rsidRPr="00E34E46">
        <w:rPr>
          <w:i/>
        </w:rPr>
        <w:t>Evidence-based</w:t>
      </w:r>
      <w:proofErr w:type="spellEnd"/>
      <w:r w:rsidRPr="00E34E46">
        <w:rPr>
          <w:i/>
        </w:rPr>
        <w:t>, adj</w:t>
      </w:r>
      <w:r w:rsidRPr="00E34E46">
        <w:t xml:space="preserve">. En ligne : </w:t>
      </w:r>
      <w:hyperlink r:id="rId89" w:history="1">
        <w:r w:rsidRPr="00E34E46">
          <w:rPr>
            <w:rStyle w:val="Hyperlink"/>
          </w:rPr>
          <w:t>https://www.oed.com/dictionary/evidence-based_adj</w:t>
        </w:r>
      </w:hyperlink>
    </w:p>
    <w:p w14:paraId="147F7DB8" w14:textId="77777777" w:rsidR="009C026F" w:rsidRPr="00E34E46" w:rsidRDefault="009C026F" w:rsidP="0081794D">
      <w:pPr>
        <w:pStyle w:val="APABibliography"/>
      </w:pPr>
      <w:proofErr w:type="spellStart"/>
      <w:r w:rsidRPr="00E34E46">
        <w:t>Patrucco</w:t>
      </w:r>
      <w:proofErr w:type="spellEnd"/>
      <w:r w:rsidRPr="00E34E46">
        <w:t>, A.S., D. Luzzini, S. Ronchi et M. Essig. (2017). « </w:t>
      </w:r>
      <w:proofErr w:type="spellStart"/>
      <w:r w:rsidRPr="00E34E46">
        <w:t>Organizing</w:t>
      </w:r>
      <w:proofErr w:type="spellEnd"/>
      <w:r w:rsidRPr="00E34E46">
        <w:t xml:space="preserve"> the </w:t>
      </w:r>
      <w:proofErr w:type="spellStart"/>
      <w:r w:rsidRPr="00E34E46">
        <w:t>purchasing</w:t>
      </w:r>
      <w:proofErr w:type="spellEnd"/>
      <w:r w:rsidRPr="00E34E46">
        <w:t xml:space="preserve"> </w:t>
      </w:r>
      <w:proofErr w:type="spellStart"/>
      <w:r w:rsidRPr="00E34E46">
        <w:t>department</w:t>
      </w:r>
      <w:proofErr w:type="spellEnd"/>
      <w:r w:rsidRPr="00E34E46">
        <w:t xml:space="preserve"> for innovation » dans </w:t>
      </w:r>
      <w:r w:rsidRPr="00E34E46">
        <w:rPr>
          <w:i/>
        </w:rPr>
        <w:t xml:space="preserve">Journal of </w:t>
      </w:r>
      <w:proofErr w:type="spellStart"/>
      <w:r w:rsidRPr="00E34E46">
        <w:rPr>
          <w:i/>
        </w:rPr>
        <w:t>Purchasing</w:t>
      </w:r>
      <w:proofErr w:type="spellEnd"/>
      <w:r w:rsidRPr="00E34E46">
        <w:rPr>
          <w:i/>
        </w:rPr>
        <w:t xml:space="preserve"> and </w:t>
      </w:r>
      <w:proofErr w:type="spellStart"/>
      <w:r w:rsidRPr="00E34E46">
        <w:rPr>
          <w:i/>
        </w:rPr>
        <w:t>Supply</w:t>
      </w:r>
      <w:proofErr w:type="spellEnd"/>
      <w:r w:rsidRPr="00E34E46">
        <w:rPr>
          <w:i/>
        </w:rPr>
        <w:t xml:space="preserve"> Management, 23</w:t>
      </w:r>
      <w:r w:rsidRPr="00E34E46">
        <w:t xml:space="preserve">(4), p. 193-206. En ligne : </w:t>
      </w:r>
      <w:hyperlink r:id="rId90" w:history="1">
        <w:r w:rsidRPr="00E34E46">
          <w:rPr>
            <w:rStyle w:val="Hyperlink"/>
          </w:rPr>
          <w:t>https://doi.org/10.1016/j.pursup.2017.05.002</w:t>
        </w:r>
      </w:hyperlink>
    </w:p>
    <w:p w14:paraId="7A06C1F9" w14:textId="37BAA22E" w:rsidR="009C026F" w:rsidRPr="00E34E46" w:rsidRDefault="009C026F" w:rsidP="005243E8">
      <w:pPr>
        <w:pStyle w:val="APABibliography"/>
      </w:pPr>
      <w:r w:rsidRPr="00E34E46">
        <w:t>Prier, E., E. Schwerin et C.P. McCue. (2016). « </w:t>
      </w:r>
      <w:proofErr w:type="spellStart"/>
      <w:r w:rsidRPr="00E34E46">
        <w:t>Implementation</w:t>
      </w:r>
      <w:proofErr w:type="spellEnd"/>
      <w:r w:rsidRPr="00E34E46">
        <w:t xml:space="preserve"> of </w:t>
      </w:r>
      <w:proofErr w:type="spellStart"/>
      <w:r w:rsidRPr="00E34E46">
        <w:t>sustainable</w:t>
      </w:r>
      <w:proofErr w:type="spellEnd"/>
      <w:r w:rsidRPr="00E34E46">
        <w:t xml:space="preserve"> public </w:t>
      </w:r>
      <w:proofErr w:type="spellStart"/>
      <w:r w:rsidRPr="00E34E46">
        <w:t>procurement</w:t>
      </w:r>
      <w:proofErr w:type="spellEnd"/>
      <w:r w:rsidRPr="00E34E46">
        <w:t xml:space="preserve"> practices and </w:t>
      </w:r>
      <w:proofErr w:type="spellStart"/>
      <w:r w:rsidRPr="00E34E46">
        <w:t>policies</w:t>
      </w:r>
      <w:proofErr w:type="spellEnd"/>
      <w:r w:rsidRPr="00E34E46">
        <w:t xml:space="preserve">: A </w:t>
      </w:r>
      <w:proofErr w:type="spellStart"/>
      <w:r w:rsidRPr="00E34E46">
        <w:t>sorting</w:t>
      </w:r>
      <w:proofErr w:type="spellEnd"/>
      <w:r w:rsidRPr="00E34E46">
        <w:t xml:space="preserve"> </w:t>
      </w:r>
      <w:proofErr w:type="spellStart"/>
      <w:r w:rsidRPr="00E34E46">
        <w:t>framework</w:t>
      </w:r>
      <w:proofErr w:type="spellEnd"/>
      <w:r w:rsidRPr="00E34E46">
        <w:t xml:space="preserve"> » dans </w:t>
      </w:r>
      <w:r w:rsidRPr="00E34E46">
        <w:rPr>
          <w:i/>
        </w:rPr>
        <w:t>Journal of Public Procurement</w:t>
      </w:r>
      <w:r w:rsidRPr="00E34E46">
        <w:t xml:space="preserve">, </w:t>
      </w:r>
      <w:r w:rsidRPr="00E34E46">
        <w:rPr>
          <w:i/>
        </w:rPr>
        <w:t>16</w:t>
      </w:r>
      <w:r w:rsidRPr="00E34E46">
        <w:t xml:space="preserve">(3), p. 312-346. En ligne : </w:t>
      </w:r>
      <w:hyperlink r:id="rId91" w:history="1">
        <w:r w:rsidRPr="00E34E46">
          <w:rPr>
            <w:rStyle w:val="Hyperlink"/>
          </w:rPr>
          <w:t>https://doi.org/10.1108/JOPP-16-03-2016-B004</w:t>
        </w:r>
      </w:hyperlink>
    </w:p>
    <w:p w14:paraId="704C6E42" w14:textId="4D66767C" w:rsidR="009C026F" w:rsidRPr="00E34E46" w:rsidRDefault="009C026F" w:rsidP="005243E8">
      <w:pPr>
        <w:pStyle w:val="APABibliography"/>
      </w:pPr>
      <w:r w:rsidRPr="00E34E46">
        <w:lastRenderedPageBreak/>
        <w:t xml:space="preserve">Public Library </w:t>
      </w:r>
      <w:proofErr w:type="spellStart"/>
      <w:r w:rsidRPr="00E34E46">
        <w:t>Accessibility</w:t>
      </w:r>
      <w:proofErr w:type="spellEnd"/>
      <w:r w:rsidRPr="00E34E46">
        <w:t xml:space="preserve"> Resource Centre. (6 novembre 2024). </w:t>
      </w:r>
      <w:proofErr w:type="spellStart"/>
      <w:r w:rsidRPr="00E34E46">
        <w:rPr>
          <w:i/>
        </w:rPr>
        <w:t>Accessibility</w:t>
      </w:r>
      <w:proofErr w:type="spellEnd"/>
      <w:r w:rsidRPr="00E34E46">
        <w:rPr>
          <w:i/>
        </w:rPr>
        <w:t xml:space="preserve"> overlays and </w:t>
      </w:r>
      <w:proofErr w:type="spellStart"/>
      <w:r w:rsidRPr="00E34E46">
        <w:rPr>
          <w:i/>
        </w:rPr>
        <w:t>accessibility</w:t>
      </w:r>
      <w:proofErr w:type="spellEnd"/>
      <w:r w:rsidRPr="00E34E46">
        <w:t xml:space="preserve">. Accessible </w:t>
      </w:r>
      <w:proofErr w:type="spellStart"/>
      <w:r w:rsidRPr="00E34E46">
        <w:t>Libraries</w:t>
      </w:r>
      <w:proofErr w:type="spellEnd"/>
      <w:r w:rsidRPr="00E34E46">
        <w:t xml:space="preserve">. En ligne : </w:t>
      </w:r>
      <w:hyperlink r:id="rId92" w:history="1">
        <w:r w:rsidRPr="00E34E46">
          <w:rPr>
            <w:rStyle w:val="Hyperlink"/>
          </w:rPr>
          <w:t>https://accessiblelibraries.ca/resources/accessibility-overlays-and-accessibility/</w:t>
        </w:r>
      </w:hyperlink>
    </w:p>
    <w:p w14:paraId="3F2EBD1B" w14:textId="7C42F097" w:rsidR="009C026F" w:rsidRPr="00E34E46" w:rsidRDefault="009C026F" w:rsidP="005243E8">
      <w:pPr>
        <w:pStyle w:val="APABibliography"/>
      </w:pPr>
      <w:r w:rsidRPr="00E34E46">
        <w:t xml:space="preserve">Reeve Consulting. (2020). </w:t>
      </w:r>
      <w:r w:rsidRPr="00E34E46">
        <w:rPr>
          <w:i/>
        </w:rPr>
        <w:t xml:space="preserve">2020 </w:t>
      </w:r>
      <w:proofErr w:type="spellStart"/>
      <w:r w:rsidRPr="00E34E46">
        <w:rPr>
          <w:i/>
        </w:rPr>
        <w:t>Annual</w:t>
      </w:r>
      <w:proofErr w:type="spellEnd"/>
      <w:r w:rsidRPr="00E34E46">
        <w:rPr>
          <w:i/>
        </w:rPr>
        <w:t xml:space="preserve"> Report on the State of </w:t>
      </w:r>
      <w:proofErr w:type="spellStart"/>
      <w:r w:rsidRPr="00E34E46">
        <w:rPr>
          <w:i/>
        </w:rPr>
        <w:t>Sustainable</w:t>
      </w:r>
      <w:proofErr w:type="spellEnd"/>
      <w:r w:rsidRPr="00E34E46">
        <w:rPr>
          <w:i/>
        </w:rPr>
        <w:t xml:space="preserve"> Public Procurement in Canada</w:t>
      </w:r>
      <w:r w:rsidRPr="00E34E46">
        <w:t xml:space="preserve">. En ligne : </w:t>
      </w:r>
      <w:hyperlink r:id="rId93" w:anchor="page=12&amp;zoom=auto,-14,625" w:history="1">
        <w:r w:rsidRPr="00E34E46">
          <w:rPr>
            <w:rStyle w:val="Hyperlink"/>
          </w:rPr>
          <w:t>https://www.reeveconsulting.com/wp-content/uploads/2021/04/Annual-State-of-the-Nation-Report-on-Sustainable-Public-Procurement-in-Canada_CCSP-Reeve-Consulting.pdf#page=12&amp;zoom=auto,-14,625</w:t>
        </w:r>
      </w:hyperlink>
    </w:p>
    <w:p w14:paraId="7F199AA2" w14:textId="77777777" w:rsidR="009C026F" w:rsidRPr="00E34E46" w:rsidRDefault="009C026F" w:rsidP="005243E8">
      <w:pPr>
        <w:pStyle w:val="APABibliography"/>
        <w:rPr>
          <w:u w:val="single"/>
        </w:rPr>
      </w:pPr>
      <w:r w:rsidRPr="00E34E46">
        <w:t xml:space="preserve">Reeve Consulting. (2024). CCSP – Canadian Collaboration for </w:t>
      </w:r>
      <w:proofErr w:type="spellStart"/>
      <w:r w:rsidRPr="00E34E46">
        <w:t>Sustainable</w:t>
      </w:r>
      <w:proofErr w:type="spellEnd"/>
      <w:r w:rsidRPr="00E34E46">
        <w:t xml:space="preserve"> Procurement. En ligne : </w:t>
      </w:r>
      <w:hyperlink r:id="rId94" w:history="1">
        <w:r w:rsidRPr="00E34E46">
          <w:rPr>
            <w:rStyle w:val="Hyperlink"/>
          </w:rPr>
          <w:t>https://www.reeveconsulting.com/about-ccsp/</w:t>
        </w:r>
      </w:hyperlink>
    </w:p>
    <w:p w14:paraId="144E334A" w14:textId="77777777" w:rsidR="009C026F" w:rsidRPr="00E34E46" w:rsidRDefault="009C026F" w:rsidP="00200DA1">
      <w:pPr>
        <w:pStyle w:val="APABibliography"/>
      </w:pPr>
      <w:proofErr w:type="spellStart"/>
      <w:r w:rsidRPr="00E34E46">
        <w:t>Rejeb</w:t>
      </w:r>
      <w:proofErr w:type="spellEnd"/>
      <w:r w:rsidRPr="00E34E46">
        <w:t xml:space="preserve">, A., K. </w:t>
      </w:r>
      <w:proofErr w:type="spellStart"/>
      <w:r w:rsidRPr="00E34E46">
        <w:t>Rejeb</w:t>
      </w:r>
      <w:proofErr w:type="spellEnd"/>
      <w:r w:rsidRPr="00E34E46">
        <w:t xml:space="preserve">, Y. </w:t>
      </w:r>
      <w:proofErr w:type="spellStart"/>
      <w:r w:rsidRPr="00E34E46">
        <w:t>Kayikci</w:t>
      </w:r>
      <w:proofErr w:type="spellEnd"/>
      <w:r w:rsidRPr="00E34E46">
        <w:t xml:space="preserve">, A. </w:t>
      </w:r>
      <w:proofErr w:type="spellStart"/>
      <w:r w:rsidRPr="00E34E46">
        <w:t>Appolloni</w:t>
      </w:r>
      <w:proofErr w:type="spellEnd"/>
      <w:r w:rsidRPr="00E34E46">
        <w:t xml:space="preserve"> et H. </w:t>
      </w:r>
      <w:proofErr w:type="spellStart"/>
      <w:r w:rsidRPr="00E34E46">
        <w:t>Treiblmaier</w:t>
      </w:r>
      <w:proofErr w:type="spellEnd"/>
      <w:r w:rsidRPr="00E34E46">
        <w:t xml:space="preserve">. (2024). « Mapping the </w:t>
      </w:r>
      <w:proofErr w:type="spellStart"/>
      <w:r w:rsidRPr="00E34E46">
        <w:t>knowledge</w:t>
      </w:r>
      <w:proofErr w:type="spellEnd"/>
      <w:r w:rsidRPr="00E34E46">
        <w:t xml:space="preserve"> </w:t>
      </w:r>
      <w:proofErr w:type="spellStart"/>
      <w:r w:rsidRPr="00E34E46">
        <w:t>domain</w:t>
      </w:r>
      <w:proofErr w:type="spellEnd"/>
      <w:r w:rsidRPr="00E34E46">
        <w:t xml:space="preserve"> of green </w:t>
      </w:r>
      <w:proofErr w:type="spellStart"/>
      <w:r w:rsidRPr="00E34E46">
        <w:t>procurement</w:t>
      </w:r>
      <w:proofErr w:type="spellEnd"/>
      <w:r w:rsidRPr="00E34E46">
        <w:t xml:space="preserve">: A </w:t>
      </w:r>
      <w:proofErr w:type="spellStart"/>
      <w:r w:rsidRPr="00E34E46">
        <w:t>review</w:t>
      </w:r>
      <w:proofErr w:type="spellEnd"/>
      <w:r w:rsidRPr="00E34E46">
        <w:t xml:space="preserve"> and </w:t>
      </w:r>
      <w:proofErr w:type="spellStart"/>
      <w:r w:rsidRPr="00E34E46">
        <w:t>bibliometric</w:t>
      </w:r>
      <w:proofErr w:type="spellEnd"/>
      <w:r w:rsidRPr="00E34E46">
        <w:t xml:space="preserve"> </w:t>
      </w:r>
      <w:proofErr w:type="spellStart"/>
      <w:r w:rsidRPr="00E34E46">
        <w:t>analysis</w:t>
      </w:r>
      <w:proofErr w:type="spellEnd"/>
      <w:r w:rsidRPr="00E34E46">
        <w:t xml:space="preserve"> » dans </w:t>
      </w:r>
      <w:proofErr w:type="spellStart"/>
      <w:r w:rsidRPr="00E34E46">
        <w:rPr>
          <w:i/>
        </w:rPr>
        <w:t>Environment</w:t>
      </w:r>
      <w:proofErr w:type="spellEnd"/>
      <w:r w:rsidRPr="00E34E46">
        <w:rPr>
          <w:i/>
        </w:rPr>
        <w:t xml:space="preserve">, </w:t>
      </w:r>
      <w:proofErr w:type="spellStart"/>
      <w:r w:rsidRPr="00E34E46">
        <w:rPr>
          <w:i/>
        </w:rPr>
        <w:t>Development</w:t>
      </w:r>
      <w:proofErr w:type="spellEnd"/>
      <w:r w:rsidRPr="00E34E46">
        <w:rPr>
          <w:i/>
        </w:rPr>
        <w:t xml:space="preserve"> and </w:t>
      </w:r>
      <w:proofErr w:type="spellStart"/>
      <w:r w:rsidRPr="00E34E46">
        <w:rPr>
          <w:i/>
        </w:rPr>
        <w:t>Sustainability</w:t>
      </w:r>
      <w:proofErr w:type="spellEnd"/>
      <w:r w:rsidRPr="00E34E46">
        <w:t xml:space="preserve">, </w:t>
      </w:r>
      <w:r w:rsidRPr="00E34E46">
        <w:rPr>
          <w:i/>
        </w:rPr>
        <w:t>26</w:t>
      </w:r>
      <w:r w:rsidRPr="00E34E46">
        <w:t xml:space="preserve">(12), 30027–30061. En ligne : </w:t>
      </w:r>
      <w:hyperlink r:id="rId95" w:history="1">
        <w:r w:rsidRPr="00E34E46">
          <w:rPr>
            <w:rStyle w:val="Hyperlink"/>
          </w:rPr>
          <w:t>https://doi.org/10.1007/s10668-023-03948-w</w:t>
        </w:r>
      </w:hyperlink>
    </w:p>
    <w:p w14:paraId="171249DE" w14:textId="554EA4F1" w:rsidR="009C026F" w:rsidRPr="00E34E46" w:rsidRDefault="009C026F" w:rsidP="005243E8">
      <w:pPr>
        <w:pStyle w:val="APABibliography"/>
      </w:pPr>
      <w:proofErr w:type="spellStart"/>
      <w:r w:rsidRPr="00E34E46">
        <w:lastRenderedPageBreak/>
        <w:t>Revez</w:t>
      </w:r>
      <w:proofErr w:type="spellEnd"/>
      <w:r w:rsidRPr="00E34E46">
        <w:t xml:space="preserve">, A., M. Kirrane et F. Thomson. (2023). « Greening </w:t>
      </w:r>
      <w:proofErr w:type="spellStart"/>
      <w:r w:rsidRPr="00E34E46">
        <w:t>procurement</w:t>
      </w:r>
      <w:proofErr w:type="spellEnd"/>
      <w:r w:rsidRPr="00E34E46">
        <w:t xml:space="preserve">: </w:t>
      </w:r>
      <w:proofErr w:type="spellStart"/>
      <w:r w:rsidRPr="00E34E46">
        <w:t>Exploring</w:t>
      </w:r>
      <w:proofErr w:type="spellEnd"/>
      <w:r w:rsidRPr="00E34E46">
        <w:t xml:space="preserve"> </w:t>
      </w:r>
      <w:proofErr w:type="spellStart"/>
      <w:r w:rsidRPr="00E34E46">
        <w:t>evolving</w:t>
      </w:r>
      <w:proofErr w:type="spellEnd"/>
      <w:r w:rsidRPr="00E34E46">
        <w:t xml:space="preserve"> practices in an Irish </w:t>
      </w:r>
      <w:proofErr w:type="spellStart"/>
      <w:r w:rsidRPr="00E34E46">
        <w:t>university</w:t>
      </w:r>
      <w:proofErr w:type="spellEnd"/>
      <w:r w:rsidRPr="00E34E46">
        <w:t xml:space="preserve"> » dans </w:t>
      </w:r>
      <w:proofErr w:type="spellStart"/>
      <w:r w:rsidRPr="00E34E46">
        <w:rPr>
          <w:i/>
        </w:rPr>
        <w:t>Heliyon</w:t>
      </w:r>
      <w:proofErr w:type="spellEnd"/>
      <w:r w:rsidRPr="00E34E46">
        <w:t xml:space="preserve">, </w:t>
      </w:r>
      <w:r w:rsidRPr="00E34E46">
        <w:rPr>
          <w:i/>
        </w:rPr>
        <w:t>9</w:t>
      </w:r>
      <w:r w:rsidRPr="00E34E46">
        <w:t xml:space="preserve">(11). En ligne : </w:t>
      </w:r>
      <w:hyperlink r:id="rId96" w:history="1">
        <w:r w:rsidRPr="00E34E46">
          <w:rPr>
            <w:rStyle w:val="Hyperlink"/>
          </w:rPr>
          <w:t>https://doi.org/10.1016/j.heliyon.2023.e21787</w:t>
        </w:r>
      </w:hyperlink>
    </w:p>
    <w:p w14:paraId="33A89507" w14:textId="6EDC423E" w:rsidR="009C026F" w:rsidRPr="00E34E46" w:rsidRDefault="009C026F" w:rsidP="005243E8">
      <w:pPr>
        <w:pStyle w:val="APABibliography"/>
      </w:pPr>
      <w:r w:rsidRPr="00E34E46">
        <w:t xml:space="preserve">Rhodes, G. (26 octobre 2022). </w:t>
      </w:r>
      <w:proofErr w:type="spellStart"/>
      <w:r w:rsidRPr="00E34E46">
        <w:rPr>
          <w:i/>
        </w:rPr>
        <w:t>Accessibility</w:t>
      </w:r>
      <w:proofErr w:type="spellEnd"/>
      <w:r w:rsidRPr="00E34E46">
        <w:rPr>
          <w:i/>
        </w:rPr>
        <w:t xml:space="preserve"> </w:t>
      </w:r>
      <w:proofErr w:type="spellStart"/>
      <w:r w:rsidRPr="00E34E46">
        <w:rPr>
          <w:i/>
        </w:rPr>
        <w:t>Statements</w:t>
      </w:r>
      <w:proofErr w:type="spellEnd"/>
      <w:r w:rsidRPr="00E34E46">
        <w:rPr>
          <w:i/>
        </w:rPr>
        <w:t>—</w:t>
      </w:r>
      <w:proofErr w:type="spellStart"/>
      <w:r w:rsidRPr="00E34E46">
        <w:rPr>
          <w:i/>
        </w:rPr>
        <w:t>What</w:t>
      </w:r>
      <w:proofErr w:type="spellEnd"/>
      <w:r w:rsidRPr="00E34E46">
        <w:rPr>
          <w:i/>
        </w:rPr>
        <w:t xml:space="preserve"> are </w:t>
      </w:r>
      <w:proofErr w:type="spellStart"/>
      <w:r w:rsidRPr="00E34E46">
        <w:rPr>
          <w:i/>
        </w:rPr>
        <w:t>they</w:t>
      </w:r>
      <w:proofErr w:type="spellEnd"/>
      <w:r w:rsidRPr="00E34E46">
        <w:rPr>
          <w:i/>
        </w:rPr>
        <w:t>?</w:t>
      </w:r>
      <w:r w:rsidRPr="00E34E46">
        <w:t xml:space="preserve"> </w:t>
      </w:r>
      <w:proofErr w:type="spellStart"/>
      <w:r w:rsidRPr="00E34E46">
        <w:t>Make</w:t>
      </w:r>
      <w:proofErr w:type="spellEnd"/>
      <w:r w:rsidRPr="00E34E46">
        <w:t xml:space="preserve"> </w:t>
      </w:r>
      <w:proofErr w:type="spellStart"/>
      <w:r w:rsidRPr="00E34E46">
        <w:t>Things</w:t>
      </w:r>
      <w:proofErr w:type="spellEnd"/>
      <w:r w:rsidRPr="00E34E46">
        <w:t xml:space="preserve"> Accessible. En ligne : </w:t>
      </w:r>
      <w:hyperlink r:id="rId97" w:tgtFrame="_blank" w:history="1">
        <w:r w:rsidRPr="00E34E46">
          <w:rPr>
            <w:rStyle w:val="Hyperlink"/>
          </w:rPr>
          <w:t>https://www.makethingsaccessible.com/guides/accessibility-statements-what-are-they/</w:t>
        </w:r>
      </w:hyperlink>
    </w:p>
    <w:p w14:paraId="6569FD0A" w14:textId="4E38DABF" w:rsidR="009C026F" w:rsidRPr="00E34E46" w:rsidRDefault="009C026F" w:rsidP="005243E8">
      <w:pPr>
        <w:pStyle w:val="APABibliography"/>
      </w:pPr>
      <w:r w:rsidRPr="00E34E46">
        <w:t xml:space="preserve">Rice, D. (2015). « Public </w:t>
      </w:r>
      <w:proofErr w:type="spellStart"/>
      <w:r w:rsidRPr="00E34E46">
        <w:t>procurement</w:t>
      </w:r>
      <w:proofErr w:type="spellEnd"/>
      <w:r w:rsidRPr="00E34E46">
        <w:t xml:space="preserve"> as a </w:t>
      </w:r>
      <w:proofErr w:type="spellStart"/>
      <w:r w:rsidRPr="00E34E46">
        <w:t>means</w:t>
      </w:r>
      <w:proofErr w:type="spellEnd"/>
      <w:r w:rsidRPr="00E34E46">
        <w:t xml:space="preserve"> to </w:t>
      </w:r>
      <w:proofErr w:type="spellStart"/>
      <w:r w:rsidRPr="00E34E46">
        <w:t>achieving</w:t>
      </w:r>
      <w:proofErr w:type="spellEnd"/>
      <w:r w:rsidRPr="00E34E46">
        <w:t xml:space="preserve"> social gains – </w:t>
      </w:r>
      <w:proofErr w:type="spellStart"/>
      <w:r w:rsidRPr="00E34E46">
        <w:t>progress</w:t>
      </w:r>
      <w:proofErr w:type="spellEnd"/>
      <w:r w:rsidRPr="00E34E46">
        <w:t xml:space="preserve"> and </w:t>
      </w:r>
      <w:proofErr w:type="gramStart"/>
      <w:r w:rsidRPr="00E34E46">
        <w:t>challenges</w:t>
      </w:r>
      <w:proofErr w:type="gramEnd"/>
      <w:r w:rsidRPr="00E34E46">
        <w:t xml:space="preserve"> in </w:t>
      </w:r>
      <w:proofErr w:type="spellStart"/>
      <w:r w:rsidRPr="00E34E46">
        <w:t>European</w:t>
      </w:r>
      <w:proofErr w:type="spellEnd"/>
      <w:r w:rsidRPr="00E34E46">
        <w:t xml:space="preserve"> </w:t>
      </w:r>
      <w:proofErr w:type="spellStart"/>
      <w:r w:rsidRPr="00E34E46">
        <w:t>legislation</w:t>
      </w:r>
      <w:proofErr w:type="spellEnd"/>
      <w:r w:rsidRPr="00E34E46">
        <w:t xml:space="preserve"> and standards for accessible information and communication </w:t>
      </w:r>
      <w:proofErr w:type="spellStart"/>
      <w:r w:rsidRPr="00E34E46">
        <w:t>technology</w:t>
      </w:r>
      <w:proofErr w:type="spellEnd"/>
      <w:r w:rsidRPr="00E34E46">
        <w:t xml:space="preserve"> » dans </w:t>
      </w:r>
      <w:r w:rsidRPr="00E34E46">
        <w:rPr>
          <w:i/>
        </w:rPr>
        <w:t xml:space="preserve">International </w:t>
      </w:r>
      <w:proofErr w:type="spellStart"/>
      <w:r w:rsidRPr="00E34E46">
        <w:rPr>
          <w:i/>
        </w:rPr>
        <w:t>Review</w:t>
      </w:r>
      <w:proofErr w:type="spellEnd"/>
      <w:r w:rsidRPr="00E34E46">
        <w:rPr>
          <w:i/>
        </w:rPr>
        <w:t xml:space="preserve"> of Law, Computers &amp; </w:t>
      </w:r>
      <w:proofErr w:type="spellStart"/>
      <w:r w:rsidRPr="00E34E46">
        <w:rPr>
          <w:i/>
        </w:rPr>
        <w:t>Technology</w:t>
      </w:r>
      <w:proofErr w:type="spellEnd"/>
      <w:r w:rsidRPr="00E34E46">
        <w:t>, </w:t>
      </w:r>
      <w:r w:rsidRPr="00E34E46">
        <w:rPr>
          <w:i/>
        </w:rPr>
        <w:t>29</w:t>
      </w:r>
      <w:r w:rsidRPr="00E34E46">
        <w:t xml:space="preserve">(2–3), p. 162-182. En ligne : </w:t>
      </w:r>
      <w:hyperlink r:id="rId98" w:history="1">
        <w:r w:rsidRPr="00E34E46">
          <w:rPr>
            <w:rStyle w:val="Hyperlink"/>
          </w:rPr>
          <w:t>https://doi.org/10.1080/13600869.2015.1055661</w:t>
        </w:r>
      </w:hyperlink>
    </w:p>
    <w:p w14:paraId="2E1D5E1F" w14:textId="77777777" w:rsidR="009C026F" w:rsidRPr="00E34E46" w:rsidRDefault="009C026F" w:rsidP="005243E8">
      <w:pPr>
        <w:pStyle w:val="APABibliography"/>
      </w:pPr>
      <w:r w:rsidRPr="00E34E46">
        <w:t xml:space="preserve">Santos, C., A. Coelho et A. Marques. (2024). « A </w:t>
      </w:r>
      <w:proofErr w:type="spellStart"/>
      <w:r w:rsidRPr="00E34E46">
        <w:t>systematic</w:t>
      </w:r>
      <w:proofErr w:type="spellEnd"/>
      <w:r w:rsidRPr="00E34E46">
        <w:t xml:space="preserve"> </w:t>
      </w:r>
      <w:proofErr w:type="spellStart"/>
      <w:r w:rsidRPr="00E34E46">
        <w:t>literature</w:t>
      </w:r>
      <w:proofErr w:type="spellEnd"/>
      <w:r w:rsidRPr="00E34E46">
        <w:t xml:space="preserve"> </w:t>
      </w:r>
      <w:proofErr w:type="spellStart"/>
      <w:r w:rsidRPr="00E34E46">
        <w:t>review</w:t>
      </w:r>
      <w:proofErr w:type="spellEnd"/>
      <w:r w:rsidRPr="00E34E46">
        <w:t xml:space="preserve"> on greenwashing and </w:t>
      </w:r>
      <w:proofErr w:type="spellStart"/>
      <w:r w:rsidRPr="00E34E46">
        <w:t>its</w:t>
      </w:r>
      <w:proofErr w:type="spellEnd"/>
      <w:r w:rsidRPr="00E34E46">
        <w:t xml:space="preserve"> </w:t>
      </w:r>
      <w:proofErr w:type="spellStart"/>
      <w:r w:rsidRPr="00E34E46">
        <w:t>relationship</w:t>
      </w:r>
      <w:proofErr w:type="spellEnd"/>
      <w:r w:rsidRPr="00E34E46">
        <w:t xml:space="preserve"> to stakeholders: state of art and future </w:t>
      </w:r>
      <w:proofErr w:type="spellStart"/>
      <w:r w:rsidRPr="00E34E46">
        <w:t>research</w:t>
      </w:r>
      <w:proofErr w:type="spellEnd"/>
      <w:r w:rsidRPr="00E34E46">
        <w:t xml:space="preserve"> agenda » dans </w:t>
      </w:r>
      <w:r w:rsidRPr="00E34E46">
        <w:rPr>
          <w:i/>
        </w:rPr>
        <w:t>Manag Rev Q 74</w:t>
      </w:r>
      <w:r w:rsidRPr="00E34E46">
        <w:t xml:space="preserve">, p. 1397-1421 En ligne : </w:t>
      </w:r>
      <w:hyperlink r:id="rId99" w:history="1">
        <w:r w:rsidRPr="00E34E46">
          <w:rPr>
            <w:rStyle w:val="Hyperlink"/>
          </w:rPr>
          <w:t>https://doi.org/10.1007/s11301-023-00337-5</w:t>
        </w:r>
      </w:hyperlink>
    </w:p>
    <w:p w14:paraId="37B09DE9" w14:textId="77777777" w:rsidR="009C026F" w:rsidRPr="00E34E46" w:rsidRDefault="009C026F" w:rsidP="005243E8">
      <w:pPr>
        <w:pStyle w:val="APABibliography"/>
      </w:pPr>
      <w:r w:rsidRPr="00E34E46">
        <w:lastRenderedPageBreak/>
        <w:t xml:space="preserve">SCT (Secrétariat du Conseil du Trésor). (2024). </w:t>
      </w:r>
      <w:r w:rsidRPr="00E34E46">
        <w:rPr>
          <w:i/>
          <w:iCs/>
        </w:rPr>
        <w:t>Résultats de 2022 pour les personnes en situation de handicap</w:t>
      </w:r>
      <w:r w:rsidRPr="00E34E46">
        <w:t xml:space="preserve"> (Résultats du Sondage auprès des fonctionnaires fédéraux de 2022). Gouvernement du Canada. En ligne : </w:t>
      </w:r>
      <w:hyperlink r:id="rId100" w:history="1">
        <w:r w:rsidRPr="00E34E46">
          <w:rPr>
            <w:rStyle w:val="Hyperlink"/>
          </w:rPr>
          <w:t>https://www.canada.ca/fr/secretariat-conseil-tresor/services/innovation/sondage-fonctionnaires-federaux/2022-23/2022-resultats-presentes-selon-les-groupes-employes/personnes-situation-handicap.html</w:t>
        </w:r>
      </w:hyperlink>
    </w:p>
    <w:p w14:paraId="0DA6B489" w14:textId="2C7C4EDD" w:rsidR="009C026F" w:rsidRPr="00E34E46" w:rsidRDefault="009C026F" w:rsidP="005243E8">
      <w:pPr>
        <w:pStyle w:val="APABibliography"/>
      </w:pPr>
      <w:r w:rsidRPr="00E34E46">
        <w:t>Sienkiewicz-</w:t>
      </w:r>
      <w:proofErr w:type="spellStart"/>
      <w:r w:rsidRPr="00E34E46">
        <w:t>Małyjurek</w:t>
      </w:r>
      <w:proofErr w:type="spellEnd"/>
      <w:r w:rsidRPr="00E34E46">
        <w:t>, K. et M. Szymczak. (2024). « </w:t>
      </w:r>
      <w:proofErr w:type="spellStart"/>
      <w:r w:rsidRPr="00E34E46">
        <w:t>Understanding</w:t>
      </w:r>
      <w:proofErr w:type="spellEnd"/>
      <w:r w:rsidRPr="00E34E46">
        <w:t xml:space="preserve"> public service </w:t>
      </w:r>
      <w:proofErr w:type="spellStart"/>
      <w:r w:rsidRPr="00E34E46">
        <w:t>supply</w:t>
      </w:r>
      <w:proofErr w:type="spellEnd"/>
      <w:r w:rsidRPr="00E34E46">
        <w:t xml:space="preserve"> </w:t>
      </w:r>
      <w:proofErr w:type="spellStart"/>
      <w:r w:rsidRPr="00E34E46">
        <w:t>chain</w:t>
      </w:r>
      <w:proofErr w:type="spellEnd"/>
      <w:r w:rsidRPr="00E34E46">
        <w:t xml:space="preserve"> management: A </w:t>
      </w:r>
      <w:proofErr w:type="spellStart"/>
      <w:r w:rsidRPr="00E34E46">
        <w:t>systematic</w:t>
      </w:r>
      <w:proofErr w:type="spellEnd"/>
      <w:r w:rsidRPr="00E34E46">
        <w:t xml:space="preserve"> </w:t>
      </w:r>
      <w:proofErr w:type="spellStart"/>
      <w:r w:rsidRPr="00E34E46">
        <w:t>literature</w:t>
      </w:r>
      <w:proofErr w:type="spellEnd"/>
      <w:r w:rsidRPr="00E34E46">
        <w:t xml:space="preserve"> </w:t>
      </w:r>
      <w:proofErr w:type="spellStart"/>
      <w:r w:rsidRPr="00E34E46">
        <w:t>review</w:t>
      </w:r>
      <w:proofErr w:type="spellEnd"/>
      <w:r w:rsidRPr="00E34E46">
        <w:t xml:space="preserve"> » dans </w:t>
      </w:r>
      <w:r w:rsidRPr="00E34E46">
        <w:rPr>
          <w:i/>
        </w:rPr>
        <w:t xml:space="preserve">Management </w:t>
      </w:r>
      <w:proofErr w:type="spellStart"/>
      <w:r w:rsidRPr="00E34E46">
        <w:rPr>
          <w:i/>
        </w:rPr>
        <w:t>Review</w:t>
      </w:r>
      <w:proofErr w:type="spellEnd"/>
      <w:r w:rsidRPr="00E34E46">
        <w:rPr>
          <w:i/>
        </w:rPr>
        <w:t xml:space="preserve"> </w:t>
      </w:r>
      <w:proofErr w:type="spellStart"/>
      <w:r w:rsidRPr="00E34E46">
        <w:rPr>
          <w:i/>
        </w:rPr>
        <w:t>Quarterly</w:t>
      </w:r>
      <w:proofErr w:type="spellEnd"/>
      <w:r w:rsidRPr="00E34E46">
        <w:t xml:space="preserve">, </w:t>
      </w:r>
      <w:r w:rsidRPr="00E34E46">
        <w:rPr>
          <w:i/>
        </w:rPr>
        <w:t>74</w:t>
      </w:r>
      <w:r w:rsidRPr="00E34E46">
        <w:t xml:space="preserve">(3), p. 1879-1943. En ligne : </w:t>
      </w:r>
      <w:hyperlink r:id="rId101" w:history="1">
        <w:r w:rsidRPr="00E34E46">
          <w:rPr>
            <w:rStyle w:val="Hyperlink"/>
          </w:rPr>
          <w:t>https://doi.org/10.1007/s11301-023-00350-8</w:t>
        </w:r>
      </w:hyperlink>
    </w:p>
    <w:p w14:paraId="4F68AAC9" w14:textId="4459EFC6" w:rsidR="009C026F" w:rsidRPr="00E34E46" w:rsidRDefault="009C026F" w:rsidP="005243E8">
      <w:pPr>
        <w:pStyle w:val="APABibliography"/>
      </w:pPr>
      <w:proofErr w:type="spellStart"/>
      <w:r w:rsidRPr="00E34E46">
        <w:t>Sönnichsen</w:t>
      </w:r>
      <w:proofErr w:type="spellEnd"/>
      <w:r w:rsidRPr="00E34E46">
        <w:t>, S.D. et J. Clement. (2020). « </w:t>
      </w:r>
      <w:proofErr w:type="spellStart"/>
      <w:r w:rsidRPr="00E34E46">
        <w:t>Review</w:t>
      </w:r>
      <w:proofErr w:type="spellEnd"/>
      <w:r w:rsidRPr="00E34E46">
        <w:t xml:space="preserve"> of green and </w:t>
      </w:r>
      <w:proofErr w:type="spellStart"/>
      <w:r w:rsidRPr="00E34E46">
        <w:t>sustainable</w:t>
      </w:r>
      <w:proofErr w:type="spellEnd"/>
      <w:r w:rsidRPr="00E34E46">
        <w:t xml:space="preserve"> public </w:t>
      </w:r>
      <w:proofErr w:type="spellStart"/>
      <w:r w:rsidRPr="00E34E46">
        <w:t>procurement</w:t>
      </w:r>
      <w:proofErr w:type="spellEnd"/>
      <w:r w:rsidRPr="00E34E46">
        <w:t xml:space="preserve">: </w:t>
      </w:r>
      <w:proofErr w:type="spellStart"/>
      <w:r w:rsidRPr="00E34E46">
        <w:t>Towards</w:t>
      </w:r>
      <w:proofErr w:type="spellEnd"/>
      <w:r w:rsidRPr="00E34E46">
        <w:t xml:space="preserve"> </w:t>
      </w:r>
      <w:proofErr w:type="spellStart"/>
      <w:r w:rsidRPr="00E34E46">
        <w:t>circular</w:t>
      </w:r>
      <w:proofErr w:type="spellEnd"/>
      <w:r w:rsidRPr="00E34E46">
        <w:t xml:space="preserve"> public </w:t>
      </w:r>
      <w:proofErr w:type="spellStart"/>
      <w:r w:rsidRPr="00E34E46">
        <w:t>procurement</w:t>
      </w:r>
      <w:proofErr w:type="spellEnd"/>
      <w:r w:rsidRPr="00E34E46">
        <w:t xml:space="preserve"> » dans </w:t>
      </w:r>
      <w:r w:rsidRPr="00E34E46">
        <w:rPr>
          <w:i/>
        </w:rPr>
        <w:t>Journal of Cleaner Production</w:t>
      </w:r>
      <w:r w:rsidRPr="00E34E46">
        <w:t xml:space="preserve">, </w:t>
      </w:r>
      <w:r w:rsidRPr="00E34E46">
        <w:rPr>
          <w:i/>
        </w:rPr>
        <w:t>245</w:t>
      </w:r>
      <w:r w:rsidRPr="00E34E46">
        <w:t xml:space="preserve">, 118901. En ligne : </w:t>
      </w:r>
      <w:hyperlink r:id="rId102" w:history="1">
        <w:r w:rsidRPr="00E34E46">
          <w:rPr>
            <w:rStyle w:val="Hyperlink"/>
          </w:rPr>
          <w:t>https://doi.org/10.1016/j.jclepro.2019.118901</w:t>
        </w:r>
      </w:hyperlink>
    </w:p>
    <w:p w14:paraId="7D6CB1A4" w14:textId="77777777" w:rsidR="009C026F" w:rsidRPr="00E34E46" w:rsidRDefault="009C026F" w:rsidP="005243E8">
      <w:pPr>
        <w:pStyle w:val="APABibliography"/>
        <w:rPr>
          <w:rFonts w:cs="Times New Roman"/>
        </w:rPr>
      </w:pPr>
      <w:r w:rsidRPr="00E34E46">
        <w:t xml:space="preserve">SPAC. (2024). </w:t>
      </w:r>
      <w:r w:rsidRPr="00E34E46">
        <w:rPr>
          <w:i/>
        </w:rPr>
        <w:t>Améliorer l’approvisionnement du gouvernement fédéral grâce à l’initiative Mieux acheter</w:t>
      </w:r>
      <w:r w:rsidRPr="00E34E46">
        <w:t xml:space="preserve">. Services publics et </w:t>
      </w:r>
      <w:r w:rsidRPr="00E34E46">
        <w:lastRenderedPageBreak/>
        <w:t xml:space="preserve">Approvisionnement Canada, gouvernement du Canada. En ligne : </w:t>
      </w:r>
      <w:hyperlink r:id="rId103" w:history="1">
        <w:r w:rsidRPr="00E34E46">
          <w:rPr>
            <w:rStyle w:val="Hyperlink"/>
          </w:rPr>
          <w:t>https://www.canada.ca/fr/services-publics-approvisionnement/services/achats/mieux-acheter/ameliorer-approvisionnement-federal.html</w:t>
        </w:r>
      </w:hyperlink>
    </w:p>
    <w:p w14:paraId="4DE7CB80" w14:textId="77777777" w:rsidR="009C026F" w:rsidRPr="00E34E46" w:rsidRDefault="009C026F" w:rsidP="005243E8">
      <w:pPr>
        <w:pStyle w:val="APABibliography"/>
      </w:pPr>
      <w:r w:rsidRPr="00E34E46">
        <w:t xml:space="preserve">SPAC. (21 octobre 2020). </w:t>
      </w:r>
      <w:r w:rsidRPr="00E34E46">
        <w:rPr>
          <w:i/>
        </w:rPr>
        <w:t>Nouvelles exigences en matière d’approvisionnement au chapitre de l’accessibilité, avis relatif aux politiques PN-142 du Guide des approvisionnements</w:t>
      </w:r>
      <w:r w:rsidRPr="00E34E46">
        <w:t xml:space="preserve">. Services publics et Approvisionnement Canada, gouvernement du Canada. En ligne : </w:t>
      </w:r>
      <w:hyperlink r:id="rId104" w:history="1">
        <w:r w:rsidRPr="00E34E46">
          <w:rPr>
            <w:rStyle w:val="Hyperlink"/>
          </w:rPr>
          <w:t>https://buyandsell.gc.ca/policy-and-guidelines/policy-notifications/PN-142</w:t>
        </w:r>
      </w:hyperlink>
    </w:p>
    <w:p w14:paraId="5076CF22" w14:textId="58DB90B5" w:rsidR="009C026F" w:rsidRPr="00E34E46" w:rsidRDefault="009C026F" w:rsidP="005243E8">
      <w:pPr>
        <w:pStyle w:val="APABibliography"/>
      </w:pPr>
      <w:r w:rsidRPr="00E34E46">
        <w:t xml:space="preserve">Standards </w:t>
      </w:r>
      <w:proofErr w:type="spellStart"/>
      <w:r w:rsidRPr="00E34E46">
        <w:t>Australia</w:t>
      </w:r>
      <w:proofErr w:type="spellEnd"/>
      <w:r w:rsidRPr="00E34E46">
        <w:t xml:space="preserve">. (2016). </w:t>
      </w:r>
      <w:proofErr w:type="spellStart"/>
      <w:r w:rsidRPr="00E34E46">
        <w:rPr>
          <w:i/>
        </w:rPr>
        <w:t>Accessibility</w:t>
      </w:r>
      <w:proofErr w:type="spellEnd"/>
      <w:r w:rsidRPr="00E34E46">
        <w:rPr>
          <w:i/>
        </w:rPr>
        <w:t xml:space="preserve"> </w:t>
      </w:r>
      <w:proofErr w:type="spellStart"/>
      <w:r w:rsidRPr="00E34E46">
        <w:rPr>
          <w:i/>
        </w:rPr>
        <w:t>requirements</w:t>
      </w:r>
      <w:proofErr w:type="spellEnd"/>
      <w:r w:rsidRPr="00E34E46">
        <w:rPr>
          <w:i/>
        </w:rPr>
        <w:t xml:space="preserve"> for ICT </w:t>
      </w:r>
      <w:proofErr w:type="spellStart"/>
      <w:r w:rsidRPr="00E34E46">
        <w:rPr>
          <w:i/>
        </w:rPr>
        <w:t>products</w:t>
      </w:r>
      <w:proofErr w:type="spellEnd"/>
      <w:r w:rsidRPr="00E34E46">
        <w:rPr>
          <w:i/>
        </w:rPr>
        <w:t xml:space="preserve"> and services</w:t>
      </w:r>
      <w:r w:rsidRPr="00E34E46">
        <w:t xml:space="preserve">. Standards Catalogue. Consulté le 29 mai 2024. En ligne : </w:t>
      </w:r>
      <w:hyperlink r:id="rId105" w:history="1">
        <w:r w:rsidRPr="00E34E46">
          <w:rPr>
            <w:rStyle w:val="Hyperlink"/>
          </w:rPr>
          <w:t>https://www.intertekinform.com/en-au/standards/as-en-301-549-2016-100620_saig_as_as_211428/</w:t>
        </w:r>
      </w:hyperlink>
    </w:p>
    <w:p w14:paraId="78F518D3" w14:textId="12E64481" w:rsidR="009C026F" w:rsidRPr="00E34E46" w:rsidRDefault="009C026F" w:rsidP="005243E8">
      <w:pPr>
        <w:pStyle w:val="APABibliography"/>
      </w:pPr>
      <w:r w:rsidRPr="00E34E46">
        <w:t xml:space="preserve">Statistique Canada. (29 novembre 2021). </w:t>
      </w:r>
      <w:r w:rsidRPr="00E34E46">
        <w:rPr>
          <w:i/>
        </w:rPr>
        <w:t>Enquête canadienne sur l’incapacité (ECI)</w:t>
      </w:r>
      <w:r w:rsidRPr="00E34E46">
        <w:t xml:space="preserve">. En ligne : </w:t>
      </w:r>
      <w:hyperlink r:id="rId106" w:tgtFrame="_blank" w:history="1">
        <w:r w:rsidRPr="00E34E46">
          <w:rPr>
            <w:rStyle w:val="Hyperlink"/>
          </w:rPr>
          <w:t>https://www23.statcan.gc.ca/imdb/p2SV_f.pl?Function=getSurvey&amp;SDDS=3251</w:t>
        </w:r>
      </w:hyperlink>
    </w:p>
    <w:p w14:paraId="6DC64FCF" w14:textId="77777777" w:rsidR="009C026F" w:rsidRPr="00E34E46" w:rsidRDefault="009C026F" w:rsidP="005243E8">
      <w:pPr>
        <w:pStyle w:val="APABibliography"/>
      </w:pPr>
      <w:r w:rsidRPr="00E34E46">
        <w:t xml:space="preserve">TRAES. (2024). </w:t>
      </w:r>
      <w:r w:rsidRPr="00E34E46">
        <w:rPr>
          <w:i/>
          <w:iCs/>
        </w:rPr>
        <w:t>Marchés publics accessibles au Canada.</w:t>
      </w:r>
      <w:r w:rsidRPr="00E34E46">
        <w:rPr>
          <w:i/>
        </w:rPr>
        <w:t xml:space="preserve"> </w:t>
      </w:r>
      <w:r w:rsidRPr="00E34E46">
        <w:t xml:space="preserve">Table ronde des affaires et de l’enseignement supérieur. En ligne : </w:t>
      </w:r>
      <w:hyperlink r:id="rId107" w:history="1">
        <w:r w:rsidRPr="00E34E46">
          <w:rPr>
            <w:rStyle w:val="Hyperlink"/>
          </w:rPr>
          <w:t>https://bher.ca/publications/research-publications/accessible-procurement-canada</w:t>
        </w:r>
      </w:hyperlink>
    </w:p>
    <w:p w14:paraId="6BF0AD76" w14:textId="26DEC5A2" w:rsidR="009C026F" w:rsidRPr="00E34E46" w:rsidRDefault="009C026F" w:rsidP="005243E8">
      <w:pPr>
        <w:pStyle w:val="APABibliography"/>
      </w:pPr>
      <w:r w:rsidRPr="00E34E46">
        <w:t xml:space="preserve">U.S. Access Board. (1998). </w:t>
      </w:r>
      <w:proofErr w:type="spellStart"/>
      <w:r w:rsidRPr="00E34E46">
        <w:rPr>
          <w:i/>
        </w:rPr>
        <w:t>Telecommunications</w:t>
      </w:r>
      <w:proofErr w:type="spellEnd"/>
      <w:r w:rsidRPr="00E34E46">
        <w:rPr>
          <w:i/>
        </w:rPr>
        <w:t xml:space="preserve"> </w:t>
      </w:r>
      <w:proofErr w:type="spellStart"/>
      <w:r w:rsidRPr="00E34E46">
        <w:rPr>
          <w:i/>
        </w:rPr>
        <w:t>Act</w:t>
      </w:r>
      <w:proofErr w:type="spellEnd"/>
      <w:r w:rsidRPr="00E34E46">
        <w:rPr>
          <w:i/>
        </w:rPr>
        <w:t xml:space="preserve"> of 1996 (Section 255)</w:t>
      </w:r>
      <w:r w:rsidRPr="00E34E46">
        <w:t xml:space="preserve">. Consulté le 28 mai 2024. En ligne : </w:t>
      </w:r>
      <w:hyperlink r:id="rId108" w:tgtFrame="_blank" w:history="1">
        <w:r w:rsidRPr="00E34E46">
          <w:rPr>
            <w:rStyle w:val="Hyperlink"/>
          </w:rPr>
          <w:t>https://www.access-board.gov/about/law/ta.html</w:t>
        </w:r>
      </w:hyperlink>
    </w:p>
    <w:p w14:paraId="0B3B6C0D" w14:textId="4B50973E" w:rsidR="009C026F" w:rsidRPr="00E34E46" w:rsidRDefault="009C026F" w:rsidP="005243E8">
      <w:pPr>
        <w:pStyle w:val="APABibliography"/>
      </w:pPr>
      <w:r w:rsidRPr="00E34E46">
        <w:t xml:space="preserve">UK </w:t>
      </w:r>
      <w:proofErr w:type="spellStart"/>
      <w:r w:rsidRPr="00E34E46">
        <w:t>Legislation</w:t>
      </w:r>
      <w:proofErr w:type="spellEnd"/>
      <w:r w:rsidRPr="00E34E46">
        <w:t xml:space="preserve">. (2018). </w:t>
      </w:r>
      <w:r w:rsidRPr="00E34E46">
        <w:rPr>
          <w:i/>
        </w:rPr>
        <w:t xml:space="preserve">The Public </w:t>
      </w:r>
      <w:proofErr w:type="spellStart"/>
      <w:r w:rsidRPr="00E34E46">
        <w:rPr>
          <w:i/>
        </w:rPr>
        <w:t>Sector</w:t>
      </w:r>
      <w:proofErr w:type="spellEnd"/>
      <w:r w:rsidRPr="00E34E46">
        <w:rPr>
          <w:i/>
        </w:rPr>
        <w:t xml:space="preserve"> Bodies (</w:t>
      </w:r>
      <w:proofErr w:type="spellStart"/>
      <w:r w:rsidRPr="00E34E46">
        <w:rPr>
          <w:i/>
        </w:rPr>
        <w:t>Websites</w:t>
      </w:r>
      <w:proofErr w:type="spellEnd"/>
      <w:r w:rsidRPr="00E34E46">
        <w:rPr>
          <w:i/>
        </w:rPr>
        <w:t xml:space="preserve"> and Mobile Applications) (No. 2) </w:t>
      </w:r>
      <w:proofErr w:type="spellStart"/>
      <w:r w:rsidRPr="00E34E46">
        <w:rPr>
          <w:i/>
        </w:rPr>
        <w:t>Accessibility</w:t>
      </w:r>
      <w:proofErr w:type="spellEnd"/>
      <w:r w:rsidRPr="00E34E46">
        <w:rPr>
          <w:i/>
        </w:rPr>
        <w:t xml:space="preserve"> </w:t>
      </w:r>
      <w:proofErr w:type="spellStart"/>
      <w:r w:rsidRPr="00E34E46">
        <w:rPr>
          <w:i/>
        </w:rPr>
        <w:t>Regulations</w:t>
      </w:r>
      <w:proofErr w:type="spellEnd"/>
      <w:r w:rsidRPr="00E34E46">
        <w:rPr>
          <w:i/>
        </w:rPr>
        <w:t xml:space="preserve"> 2018</w:t>
      </w:r>
      <w:r w:rsidRPr="00E34E46">
        <w:t xml:space="preserve">. UK </w:t>
      </w:r>
      <w:proofErr w:type="spellStart"/>
      <w:r w:rsidRPr="00E34E46">
        <w:t>Statutory</w:t>
      </w:r>
      <w:proofErr w:type="spellEnd"/>
      <w:r w:rsidRPr="00E34E46">
        <w:t xml:space="preserve"> Instruments. Consulté le 29 mai 2024. En ligne : </w:t>
      </w:r>
      <w:hyperlink r:id="rId109" w:tgtFrame="_blank" w:history="1">
        <w:r w:rsidRPr="00E34E46">
          <w:rPr>
            <w:rStyle w:val="Hyperlink"/>
          </w:rPr>
          <w:t>https://www.legislation.gov.uk/uksi/2018/952</w:t>
        </w:r>
      </w:hyperlink>
    </w:p>
    <w:p w14:paraId="01ACDCA8" w14:textId="77777777" w:rsidR="009C026F" w:rsidRPr="00E34E46" w:rsidRDefault="009C026F" w:rsidP="005243E8">
      <w:pPr>
        <w:pStyle w:val="APABibliography"/>
      </w:pPr>
      <w:r w:rsidRPr="00E34E46">
        <w:t xml:space="preserve">UNDIS. (2021). </w:t>
      </w:r>
      <w:r w:rsidRPr="00E34E46">
        <w:rPr>
          <w:i/>
        </w:rPr>
        <w:t xml:space="preserve">United Nations </w:t>
      </w:r>
      <w:proofErr w:type="spellStart"/>
      <w:r w:rsidRPr="00E34E46">
        <w:rPr>
          <w:i/>
        </w:rPr>
        <w:t>Disability</w:t>
      </w:r>
      <w:proofErr w:type="spellEnd"/>
      <w:r w:rsidRPr="00E34E46">
        <w:rPr>
          <w:i/>
        </w:rPr>
        <w:t xml:space="preserve"> Inclusion </w:t>
      </w:r>
      <w:proofErr w:type="spellStart"/>
      <w:r w:rsidRPr="00E34E46">
        <w:rPr>
          <w:i/>
        </w:rPr>
        <w:t>Strategy</w:t>
      </w:r>
      <w:proofErr w:type="spellEnd"/>
      <w:r w:rsidRPr="00E34E46">
        <w:rPr>
          <w:i/>
        </w:rPr>
        <w:t xml:space="preserve">: </w:t>
      </w:r>
      <w:proofErr w:type="spellStart"/>
      <w:r w:rsidRPr="00E34E46">
        <w:rPr>
          <w:i/>
        </w:rPr>
        <w:t>Entity</w:t>
      </w:r>
      <w:proofErr w:type="spellEnd"/>
      <w:r w:rsidRPr="00E34E46">
        <w:rPr>
          <w:i/>
        </w:rPr>
        <w:t xml:space="preserve"> </w:t>
      </w:r>
      <w:proofErr w:type="spellStart"/>
      <w:r w:rsidRPr="00E34E46">
        <w:rPr>
          <w:i/>
        </w:rPr>
        <w:t>Accountability</w:t>
      </w:r>
      <w:proofErr w:type="spellEnd"/>
      <w:r w:rsidRPr="00E34E46">
        <w:rPr>
          <w:i/>
        </w:rPr>
        <w:t xml:space="preserve"> Document: </w:t>
      </w:r>
      <w:proofErr w:type="spellStart"/>
      <w:r w:rsidRPr="00E34E46">
        <w:rPr>
          <w:i/>
        </w:rPr>
        <w:t>Technical</w:t>
      </w:r>
      <w:proofErr w:type="spellEnd"/>
      <w:r w:rsidRPr="00E34E46">
        <w:rPr>
          <w:i/>
        </w:rPr>
        <w:t xml:space="preserve"> Notes</w:t>
      </w:r>
      <w:r w:rsidRPr="00E34E46">
        <w:t xml:space="preserve">. En ligne : </w:t>
      </w:r>
      <w:hyperlink r:id="rId110" w:history="1">
        <w:r w:rsidRPr="00E34E46">
          <w:rPr>
            <w:rStyle w:val="Hyperlink"/>
          </w:rPr>
          <w:t>https://www.un.org/en/content/disabilitystrategy/assets/documentation/UN_Disability_Inclusion_Strategy_Entity_Technical_Notes.pdf</w:t>
        </w:r>
      </w:hyperlink>
    </w:p>
    <w:p w14:paraId="5F99D9C5" w14:textId="77777777" w:rsidR="009C026F" w:rsidRPr="00E34E46" w:rsidRDefault="009C026F" w:rsidP="005243E8">
      <w:pPr>
        <w:pStyle w:val="APABibliography"/>
        <w:rPr>
          <w:u w:val="single"/>
        </w:rPr>
      </w:pPr>
      <w:r w:rsidRPr="00E34E46">
        <w:lastRenderedPageBreak/>
        <w:t xml:space="preserve">UNDIS. (2022). </w:t>
      </w:r>
      <w:r w:rsidRPr="00E34E46">
        <w:rPr>
          <w:i/>
        </w:rPr>
        <w:t>HLCM Procurement Network: Guidelines on the Implications of Indicator 8: Procurement</w:t>
      </w:r>
      <w:r w:rsidRPr="00E34E46">
        <w:t xml:space="preserve">. United Nations </w:t>
      </w:r>
      <w:proofErr w:type="spellStart"/>
      <w:r w:rsidRPr="00E34E46">
        <w:t>Disability</w:t>
      </w:r>
      <w:proofErr w:type="spellEnd"/>
      <w:r w:rsidRPr="00E34E46">
        <w:t xml:space="preserve"> Inclusion </w:t>
      </w:r>
      <w:proofErr w:type="spellStart"/>
      <w:r w:rsidRPr="00E34E46">
        <w:t>Strategy</w:t>
      </w:r>
      <w:proofErr w:type="spellEnd"/>
      <w:r w:rsidRPr="00E34E46">
        <w:t xml:space="preserve">. En ligne : </w:t>
      </w:r>
      <w:hyperlink r:id="rId111" w:history="1">
        <w:r w:rsidRPr="00E34E46">
          <w:rPr>
            <w:rStyle w:val="Hyperlink"/>
          </w:rPr>
          <w:t>https://www.un.org/sites/un2.un.org/files/2021/01/2020_un_disability_inclusion_strategy_guidelines_indicator_8.pdf</w:t>
        </w:r>
      </w:hyperlink>
    </w:p>
    <w:p w14:paraId="2C443203" w14:textId="545D8C51" w:rsidR="009C026F" w:rsidRPr="00E34E46" w:rsidRDefault="009C026F" w:rsidP="00127D08">
      <w:pPr>
        <w:pStyle w:val="APABibliography"/>
      </w:pPr>
      <w:r w:rsidRPr="00E34E46">
        <w:t xml:space="preserve">UNESCAP (2019). </w:t>
      </w:r>
      <w:proofErr w:type="spellStart"/>
      <w:r w:rsidRPr="00E34E46">
        <w:rPr>
          <w:i/>
          <w:iCs/>
        </w:rPr>
        <w:t>Disability</w:t>
      </w:r>
      <w:proofErr w:type="spellEnd"/>
      <w:r w:rsidRPr="00E34E46">
        <w:rPr>
          <w:i/>
          <w:iCs/>
        </w:rPr>
        <w:t xml:space="preserve">-inclusive public </w:t>
      </w:r>
      <w:proofErr w:type="spellStart"/>
      <w:r w:rsidRPr="00E34E46">
        <w:rPr>
          <w:i/>
          <w:iCs/>
        </w:rPr>
        <w:t>procurement</w:t>
      </w:r>
      <w:proofErr w:type="spellEnd"/>
      <w:r w:rsidRPr="00E34E46">
        <w:rPr>
          <w:i/>
          <w:iCs/>
        </w:rPr>
        <w:t xml:space="preserve">: </w:t>
      </w:r>
      <w:proofErr w:type="spellStart"/>
      <w:r w:rsidRPr="00E34E46">
        <w:rPr>
          <w:i/>
          <w:iCs/>
        </w:rPr>
        <w:t>promoting</w:t>
      </w:r>
      <w:proofErr w:type="spellEnd"/>
      <w:r w:rsidRPr="00E34E46">
        <w:rPr>
          <w:i/>
          <w:iCs/>
        </w:rPr>
        <w:t xml:space="preserve"> </w:t>
      </w:r>
      <w:proofErr w:type="spellStart"/>
      <w:r w:rsidRPr="00E34E46">
        <w:rPr>
          <w:i/>
          <w:iCs/>
        </w:rPr>
        <w:t>universal</w:t>
      </w:r>
      <w:proofErr w:type="spellEnd"/>
      <w:r w:rsidRPr="00E34E46">
        <w:rPr>
          <w:i/>
          <w:iCs/>
        </w:rPr>
        <w:t xml:space="preserve"> design and </w:t>
      </w:r>
      <w:proofErr w:type="spellStart"/>
      <w:r w:rsidRPr="00E34E46">
        <w:rPr>
          <w:i/>
          <w:iCs/>
        </w:rPr>
        <w:t>accessibility</w:t>
      </w:r>
      <w:proofErr w:type="spellEnd"/>
      <w:r w:rsidRPr="00E34E46">
        <w:t xml:space="preserve">. En ligne : </w:t>
      </w:r>
      <w:hyperlink r:id="rId112" w:history="1">
        <w:r w:rsidRPr="00E34E46">
          <w:rPr>
            <w:rStyle w:val="Hyperlink"/>
          </w:rPr>
          <w:t>https://hdl.handle.net/20.500.12870/815</w:t>
        </w:r>
      </w:hyperlink>
    </w:p>
    <w:p w14:paraId="4F3F6698" w14:textId="77777777" w:rsidR="009C026F" w:rsidRPr="00E34E46" w:rsidRDefault="009C026F" w:rsidP="000D3AD2">
      <w:pPr>
        <w:pStyle w:val="APABibliography"/>
      </w:pPr>
      <w:proofErr w:type="spellStart"/>
      <w:r w:rsidRPr="00E34E46">
        <w:t>University</w:t>
      </w:r>
      <w:proofErr w:type="spellEnd"/>
      <w:r w:rsidRPr="00E34E46">
        <w:t xml:space="preserve"> of Virginia. (</w:t>
      </w:r>
      <w:proofErr w:type="gramStart"/>
      <w:r w:rsidRPr="00E34E46">
        <w:t>s.</w:t>
      </w:r>
      <w:proofErr w:type="gramEnd"/>
      <w:r w:rsidRPr="00E34E46">
        <w:t xml:space="preserve"> d.). </w:t>
      </w:r>
      <w:proofErr w:type="spellStart"/>
      <w:r w:rsidRPr="00E34E46">
        <w:rPr>
          <w:i/>
        </w:rPr>
        <w:t>Foundations</w:t>
      </w:r>
      <w:proofErr w:type="spellEnd"/>
      <w:r w:rsidRPr="00E34E46">
        <w:rPr>
          <w:i/>
        </w:rPr>
        <w:t xml:space="preserve"> of </w:t>
      </w:r>
      <w:proofErr w:type="spellStart"/>
      <w:r w:rsidRPr="00E34E46">
        <w:rPr>
          <w:i/>
        </w:rPr>
        <w:t>accessibility</w:t>
      </w:r>
      <w:proofErr w:type="spellEnd"/>
      <w:r w:rsidRPr="00E34E46">
        <w:rPr>
          <w:i/>
        </w:rPr>
        <w:t xml:space="preserve"> </w:t>
      </w:r>
      <w:proofErr w:type="spellStart"/>
      <w:r w:rsidRPr="00E34E46">
        <w:rPr>
          <w:i/>
        </w:rPr>
        <w:t>remediation</w:t>
      </w:r>
      <w:proofErr w:type="spellEnd"/>
      <w:r w:rsidRPr="00E34E46">
        <w:t xml:space="preserve">. Digital </w:t>
      </w:r>
      <w:proofErr w:type="spellStart"/>
      <w:r w:rsidRPr="00E34E46">
        <w:t>Accessibility</w:t>
      </w:r>
      <w:proofErr w:type="spellEnd"/>
      <w:r w:rsidRPr="00E34E46">
        <w:t xml:space="preserve">. En ligne : </w:t>
      </w:r>
      <w:hyperlink r:id="rId113" w:history="1">
        <w:r w:rsidRPr="00E34E46">
          <w:rPr>
            <w:rStyle w:val="Hyperlink"/>
          </w:rPr>
          <w:t>https://digitalaccessibility.virginia.edu/foundations-accessibility-remediation</w:t>
        </w:r>
      </w:hyperlink>
    </w:p>
    <w:p w14:paraId="4E4FB653" w14:textId="6550A02E" w:rsidR="009C026F" w:rsidRPr="00E34E46" w:rsidRDefault="009C026F" w:rsidP="005243E8">
      <w:pPr>
        <w:pStyle w:val="APABibliography"/>
      </w:pPr>
      <w:proofErr w:type="spellStart"/>
      <w:r w:rsidRPr="00E34E46">
        <w:t>Uyarra</w:t>
      </w:r>
      <w:proofErr w:type="spellEnd"/>
      <w:r w:rsidRPr="00E34E46">
        <w:t>, E., J.M. Zabala-</w:t>
      </w:r>
      <w:proofErr w:type="spellStart"/>
      <w:r w:rsidRPr="00E34E46">
        <w:t>Iturriagagoitia</w:t>
      </w:r>
      <w:proofErr w:type="spellEnd"/>
      <w:r w:rsidRPr="00E34E46">
        <w:t xml:space="preserve">, K. Flanagan et E. Magro. (2020). « Public </w:t>
      </w:r>
      <w:proofErr w:type="spellStart"/>
      <w:r w:rsidRPr="00E34E46">
        <w:t>procurement</w:t>
      </w:r>
      <w:proofErr w:type="spellEnd"/>
      <w:r w:rsidRPr="00E34E46">
        <w:t xml:space="preserve">, innovation and </w:t>
      </w:r>
      <w:proofErr w:type="spellStart"/>
      <w:r w:rsidRPr="00E34E46">
        <w:t>industrial</w:t>
      </w:r>
      <w:proofErr w:type="spellEnd"/>
      <w:r w:rsidRPr="00E34E46">
        <w:t xml:space="preserve"> </w:t>
      </w:r>
      <w:proofErr w:type="spellStart"/>
      <w:r w:rsidRPr="00E34E46">
        <w:t>policy</w:t>
      </w:r>
      <w:proofErr w:type="spellEnd"/>
      <w:r w:rsidRPr="00E34E46">
        <w:t xml:space="preserve">: </w:t>
      </w:r>
      <w:proofErr w:type="spellStart"/>
      <w:r w:rsidRPr="00E34E46">
        <w:t>Rationales</w:t>
      </w:r>
      <w:proofErr w:type="spellEnd"/>
      <w:r w:rsidRPr="00E34E46">
        <w:t xml:space="preserve">, </w:t>
      </w:r>
      <w:proofErr w:type="spellStart"/>
      <w:r w:rsidRPr="00E34E46">
        <w:t>roles</w:t>
      </w:r>
      <w:proofErr w:type="spellEnd"/>
      <w:r w:rsidRPr="00E34E46">
        <w:t xml:space="preserve">, </w:t>
      </w:r>
      <w:proofErr w:type="spellStart"/>
      <w:r w:rsidRPr="00E34E46">
        <w:t>capabilities</w:t>
      </w:r>
      <w:proofErr w:type="spellEnd"/>
      <w:r w:rsidRPr="00E34E46">
        <w:t xml:space="preserve"> and </w:t>
      </w:r>
      <w:proofErr w:type="spellStart"/>
      <w:r w:rsidRPr="00E34E46">
        <w:t>implementation</w:t>
      </w:r>
      <w:proofErr w:type="spellEnd"/>
      <w:r w:rsidRPr="00E34E46">
        <w:t xml:space="preserve"> » dans </w:t>
      </w:r>
      <w:r w:rsidRPr="00E34E46">
        <w:rPr>
          <w:i/>
        </w:rPr>
        <w:t>Research Policy</w:t>
      </w:r>
      <w:r w:rsidRPr="00E34E46">
        <w:t xml:space="preserve">, </w:t>
      </w:r>
      <w:r w:rsidRPr="00E34E46">
        <w:rPr>
          <w:i/>
        </w:rPr>
        <w:t>49</w:t>
      </w:r>
      <w:r w:rsidRPr="00E34E46">
        <w:t xml:space="preserve">(1), 103844. En ligne : </w:t>
      </w:r>
      <w:hyperlink r:id="rId114" w:history="1">
        <w:r w:rsidRPr="00E34E46">
          <w:rPr>
            <w:rStyle w:val="Hyperlink"/>
          </w:rPr>
          <w:t>https://doi.org/10.1016/j.respol.2019.103844</w:t>
        </w:r>
      </w:hyperlink>
    </w:p>
    <w:p w14:paraId="63127793" w14:textId="77777777" w:rsidR="009C026F" w:rsidRPr="00E34E46" w:rsidRDefault="009C026F" w:rsidP="005243E8">
      <w:pPr>
        <w:pStyle w:val="APABibliography"/>
      </w:pPr>
      <w:r w:rsidRPr="00E34E46">
        <w:lastRenderedPageBreak/>
        <w:t xml:space="preserve">Ville de Toronto. (7 août 2017). </w:t>
      </w:r>
      <w:r w:rsidRPr="00E34E46">
        <w:rPr>
          <w:i/>
        </w:rPr>
        <w:t>Social Procurement Program</w:t>
      </w:r>
      <w:r w:rsidRPr="00E34E46">
        <w:t xml:space="preserve"> (Toronto, Ontario, Canada). En ligne : </w:t>
      </w:r>
      <w:hyperlink r:id="rId115" w:history="1">
        <w:r w:rsidRPr="00E34E46">
          <w:rPr>
            <w:rStyle w:val="Hyperlink"/>
          </w:rPr>
          <w:t>https://www.toronto.ca/business-economy/doing-business-with-the-city/social-procurement-program/</w:t>
        </w:r>
      </w:hyperlink>
    </w:p>
    <w:p w14:paraId="5682320B" w14:textId="6DC6F29F" w:rsidR="009C026F" w:rsidRPr="00E34E46" w:rsidRDefault="009C026F" w:rsidP="005243E8">
      <w:pPr>
        <w:pStyle w:val="APABibliography"/>
      </w:pPr>
      <w:r w:rsidRPr="00E34E46">
        <w:t>W3C (World Wide Web Consortium). (</w:t>
      </w:r>
      <w:proofErr w:type="gramStart"/>
      <w:r w:rsidRPr="00E34E46">
        <w:t>s.</w:t>
      </w:r>
      <w:proofErr w:type="gramEnd"/>
      <w:r w:rsidRPr="00E34E46">
        <w:t xml:space="preserve"> d.). </w:t>
      </w:r>
      <w:r w:rsidRPr="00E34E46">
        <w:rPr>
          <w:i/>
        </w:rPr>
        <w:t xml:space="preserve">W3C </w:t>
      </w:r>
      <w:proofErr w:type="spellStart"/>
      <w:r w:rsidRPr="00E34E46">
        <w:rPr>
          <w:i/>
        </w:rPr>
        <w:t>accessibility</w:t>
      </w:r>
      <w:proofErr w:type="spellEnd"/>
      <w:r w:rsidRPr="00E34E46">
        <w:rPr>
          <w:i/>
        </w:rPr>
        <w:t xml:space="preserve"> Standards </w:t>
      </w:r>
      <w:proofErr w:type="spellStart"/>
      <w:r w:rsidRPr="00E34E46">
        <w:rPr>
          <w:i/>
        </w:rPr>
        <w:t>Overview</w:t>
      </w:r>
      <w:proofErr w:type="spellEnd"/>
      <w:r w:rsidRPr="00E34E46">
        <w:t xml:space="preserve">. Web </w:t>
      </w:r>
      <w:proofErr w:type="spellStart"/>
      <w:r w:rsidRPr="00E34E46">
        <w:t>Accessibility</w:t>
      </w:r>
      <w:proofErr w:type="spellEnd"/>
      <w:r w:rsidRPr="00E34E46">
        <w:t xml:space="preserve"> Initiative (WAI). Consulté le 28 mai 2024. En ligne : </w:t>
      </w:r>
      <w:hyperlink r:id="rId116" w:tgtFrame="_blank" w:history="1">
        <w:r w:rsidRPr="00E34E46">
          <w:rPr>
            <w:rStyle w:val="Hyperlink"/>
          </w:rPr>
          <w:t>https://www.w3.org/WAI/standards-guidelines/</w:t>
        </w:r>
      </w:hyperlink>
    </w:p>
    <w:p w14:paraId="5BC6C28F" w14:textId="0C8C3910" w:rsidR="009C026F" w:rsidRPr="00E34E46" w:rsidRDefault="009C026F" w:rsidP="005243E8">
      <w:pPr>
        <w:pStyle w:val="APABibliography"/>
      </w:pPr>
      <w:r w:rsidRPr="00E34E46">
        <w:t xml:space="preserve">Warner, M. (2011). </w:t>
      </w:r>
      <w:r w:rsidRPr="00E34E46">
        <w:rPr>
          <w:i/>
          <w:iCs/>
        </w:rPr>
        <w:t xml:space="preserve">Local Content in Procurement: </w:t>
      </w:r>
      <w:proofErr w:type="spellStart"/>
      <w:r w:rsidRPr="00E34E46">
        <w:rPr>
          <w:i/>
          <w:iCs/>
        </w:rPr>
        <w:t>Creating</w:t>
      </w:r>
      <w:proofErr w:type="spellEnd"/>
      <w:r w:rsidRPr="00E34E46">
        <w:rPr>
          <w:i/>
          <w:iCs/>
        </w:rPr>
        <w:t xml:space="preserve"> Local Jobs and </w:t>
      </w:r>
      <w:proofErr w:type="spellStart"/>
      <w:r w:rsidRPr="00E34E46">
        <w:rPr>
          <w:i/>
          <w:iCs/>
        </w:rPr>
        <w:t>Competitive</w:t>
      </w:r>
      <w:proofErr w:type="spellEnd"/>
      <w:r w:rsidRPr="00E34E46">
        <w:rPr>
          <w:i/>
          <w:iCs/>
        </w:rPr>
        <w:t xml:space="preserve"> Domestic Industries in </w:t>
      </w:r>
      <w:proofErr w:type="spellStart"/>
      <w:r w:rsidRPr="00E34E46">
        <w:rPr>
          <w:i/>
          <w:iCs/>
        </w:rPr>
        <w:t>Supply</w:t>
      </w:r>
      <w:proofErr w:type="spellEnd"/>
      <w:r w:rsidRPr="00E34E46">
        <w:rPr>
          <w:i/>
          <w:iCs/>
        </w:rPr>
        <w:t xml:space="preserve"> </w:t>
      </w:r>
      <w:proofErr w:type="spellStart"/>
      <w:r w:rsidRPr="00E34E46">
        <w:rPr>
          <w:i/>
          <w:iCs/>
        </w:rPr>
        <w:t>Chains</w:t>
      </w:r>
      <w:proofErr w:type="spellEnd"/>
      <w:r w:rsidRPr="00E34E46">
        <w:t xml:space="preserve"> (1</w:t>
      </w:r>
      <w:r w:rsidRPr="00E34E46">
        <w:rPr>
          <w:vertAlign w:val="superscript"/>
        </w:rPr>
        <w:t>re</w:t>
      </w:r>
      <w:r w:rsidRPr="00E34E46">
        <w:t xml:space="preserve"> éd.). Routledge. En ligne : </w:t>
      </w:r>
      <w:hyperlink r:id="rId117" w:history="1">
        <w:r w:rsidRPr="00E34E46">
          <w:rPr>
            <w:rStyle w:val="Hyperlink"/>
          </w:rPr>
          <w:t>https://doi.org/10.4324/9781351278089</w:t>
        </w:r>
      </w:hyperlink>
    </w:p>
    <w:p w14:paraId="7322DDBC" w14:textId="4AE55C19" w:rsidR="009C026F" w:rsidRPr="00E34E46" w:rsidRDefault="009C026F" w:rsidP="005243E8">
      <w:pPr>
        <w:pStyle w:val="APABibliography"/>
      </w:pPr>
      <w:r w:rsidRPr="00E34E46">
        <w:t xml:space="preserve">Winnipeg. (2021). City of Winnipeg Social Procurement Framework </w:t>
      </w:r>
      <w:proofErr w:type="spellStart"/>
      <w:r w:rsidRPr="00E34E46">
        <w:t>Activating</w:t>
      </w:r>
      <w:proofErr w:type="spellEnd"/>
      <w:r w:rsidRPr="00E34E46">
        <w:t xml:space="preserve"> the Social and </w:t>
      </w:r>
      <w:proofErr w:type="spellStart"/>
      <w:r w:rsidRPr="00E34E46">
        <w:t>Indigenous</w:t>
      </w:r>
      <w:proofErr w:type="spellEnd"/>
      <w:r w:rsidRPr="00E34E46">
        <w:t xml:space="preserve"> Pillars of </w:t>
      </w:r>
      <w:proofErr w:type="spellStart"/>
      <w:r w:rsidRPr="00E34E46">
        <w:t>Winnipeg’s</w:t>
      </w:r>
      <w:proofErr w:type="spellEnd"/>
      <w:r w:rsidRPr="00E34E46">
        <w:t xml:space="preserve"> </w:t>
      </w:r>
      <w:proofErr w:type="spellStart"/>
      <w:r w:rsidRPr="00E34E46">
        <w:t>Sustainable</w:t>
      </w:r>
      <w:proofErr w:type="spellEnd"/>
      <w:r w:rsidRPr="00E34E46">
        <w:t xml:space="preserve"> Procurement Program. Reeve Consulting. En ligne : </w:t>
      </w:r>
      <w:hyperlink r:id="rId118" w:history="1">
        <w:r w:rsidRPr="00E34E46">
          <w:rPr>
            <w:rStyle w:val="Hyperlink"/>
          </w:rPr>
          <w:t>https://legacy.winnipeg.ca/matmgt/pdfs/SocialProcurement-Framework.pdf</w:t>
        </w:r>
      </w:hyperlink>
    </w:p>
    <w:p w14:paraId="1BA163D2" w14:textId="21060676" w:rsidR="009C026F" w:rsidRPr="00E34E46" w:rsidRDefault="009C026F" w:rsidP="005243E8">
      <w:pPr>
        <w:pStyle w:val="APABibliography"/>
      </w:pPr>
      <w:r w:rsidRPr="00E34E46">
        <w:t xml:space="preserve">Winter, J., M.H. Issa, R. </w:t>
      </w:r>
      <w:proofErr w:type="spellStart"/>
      <w:r w:rsidRPr="00E34E46">
        <w:t>Quaigrain</w:t>
      </w:r>
      <w:proofErr w:type="spellEnd"/>
      <w:r w:rsidRPr="00E34E46">
        <w:t>, K. Dick et J.D. Regehr. (2016). « </w:t>
      </w:r>
      <w:proofErr w:type="spellStart"/>
      <w:r w:rsidRPr="00E34E46">
        <w:t>Evaluating</w:t>
      </w:r>
      <w:proofErr w:type="spellEnd"/>
      <w:r w:rsidRPr="00E34E46">
        <w:t xml:space="preserve"> </w:t>
      </w:r>
      <w:proofErr w:type="spellStart"/>
      <w:r w:rsidRPr="00E34E46">
        <w:t>disability</w:t>
      </w:r>
      <w:proofErr w:type="spellEnd"/>
      <w:r w:rsidRPr="00E34E46">
        <w:t xml:space="preserve"> management in the </w:t>
      </w:r>
      <w:proofErr w:type="spellStart"/>
      <w:r w:rsidRPr="00E34E46">
        <w:t>Manitoban</w:t>
      </w:r>
      <w:proofErr w:type="spellEnd"/>
      <w:r w:rsidRPr="00E34E46">
        <w:t xml:space="preserve"> construction </w:t>
      </w:r>
      <w:proofErr w:type="spellStart"/>
      <w:r w:rsidRPr="00E34E46">
        <w:t>industry</w:t>
      </w:r>
      <w:proofErr w:type="spellEnd"/>
      <w:r w:rsidRPr="00E34E46">
        <w:t xml:space="preserve"> for </w:t>
      </w:r>
      <w:proofErr w:type="spellStart"/>
      <w:r w:rsidRPr="00E34E46">
        <w:t>injured</w:t>
      </w:r>
      <w:proofErr w:type="spellEnd"/>
      <w:r w:rsidRPr="00E34E46">
        <w:t xml:space="preserve"> </w:t>
      </w:r>
      <w:proofErr w:type="spellStart"/>
      <w:r w:rsidRPr="00E34E46">
        <w:t>workers</w:t>
      </w:r>
      <w:proofErr w:type="spellEnd"/>
      <w:r w:rsidRPr="00E34E46">
        <w:t xml:space="preserve"> </w:t>
      </w:r>
      <w:proofErr w:type="spellStart"/>
      <w:r w:rsidRPr="00E34E46">
        <w:t>returning</w:t>
      </w:r>
      <w:proofErr w:type="spellEnd"/>
      <w:r w:rsidRPr="00E34E46">
        <w:t xml:space="preserve"> to the </w:t>
      </w:r>
      <w:proofErr w:type="spellStart"/>
      <w:r w:rsidRPr="00E34E46">
        <w:t>workplace</w:t>
      </w:r>
      <w:proofErr w:type="spellEnd"/>
      <w:r w:rsidRPr="00E34E46">
        <w:t xml:space="preserve"> </w:t>
      </w:r>
      <w:proofErr w:type="spellStart"/>
      <w:r w:rsidRPr="00E34E46">
        <w:t>with</w:t>
      </w:r>
      <w:proofErr w:type="spellEnd"/>
      <w:r w:rsidRPr="00E34E46">
        <w:t xml:space="preserve"> a </w:t>
      </w:r>
      <w:proofErr w:type="spellStart"/>
      <w:r w:rsidRPr="00E34E46">
        <w:lastRenderedPageBreak/>
        <w:t>disability</w:t>
      </w:r>
      <w:proofErr w:type="spellEnd"/>
      <w:r w:rsidRPr="00E34E46">
        <w:t xml:space="preserve"> » dans </w:t>
      </w:r>
      <w:r w:rsidRPr="00E34E46">
        <w:rPr>
          <w:i/>
        </w:rPr>
        <w:t>Canadian Journal of Civil Engineering</w:t>
      </w:r>
      <w:r w:rsidRPr="00E34E46">
        <w:t xml:space="preserve">, </w:t>
      </w:r>
      <w:r w:rsidRPr="00E34E46">
        <w:rPr>
          <w:i/>
        </w:rPr>
        <w:t>43</w:t>
      </w:r>
      <w:r w:rsidRPr="00E34E46">
        <w:t xml:space="preserve">(2), p. 109-117. En ligne : </w:t>
      </w:r>
      <w:hyperlink r:id="rId119" w:history="1">
        <w:r w:rsidRPr="00E34E46">
          <w:rPr>
            <w:rStyle w:val="Hyperlink"/>
          </w:rPr>
          <w:t>https://doi.org/10.1139/cjce-2015-0114</w:t>
        </w:r>
      </w:hyperlink>
    </w:p>
    <w:p w14:paraId="197F1FC5" w14:textId="77777777" w:rsidR="009C026F" w:rsidRPr="00E34E46" w:rsidRDefault="009C026F" w:rsidP="005243E8">
      <w:pPr>
        <w:pStyle w:val="APABibliography"/>
      </w:pPr>
      <w:proofErr w:type="spellStart"/>
      <w:r w:rsidRPr="00E34E46">
        <w:t>Yukins</w:t>
      </w:r>
      <w:proofErr w:type="spellEnd"/>
      <w:r w:rsidRPr="00E34E46">
        <w:t>, C.R. (2004). « </w:t>
      </w:r>
      <w:proofErr w:type="spellStart"/>
      <w:r w:rsidRPr="00E34E46">
        <w:t>Making</w:t>
      </w:r>
      <w:proofErr w:type="spellEnd"/>
      <w:r w:rsidRPr="00E34E46">
        <w:t xml:space="preserve"> </w:t>
      </w:r>
      <w:proofErr w:type="spellStart"/>
      <w:r w:rsidRPr="00E34E46">
        <w:t>Federal</w:t>
      </w:r>
      <w:proofErr w:type="spellEnd"/>
      <w:r w:rsidRPr="00E34E46">
        <w:t xml:space="preserve"> Information </w:t>
      </w:r>
      <w:proofErr w:type="spellStart"/>
      <w:r w:rsidRPr="00E34E46">
        <w:t>Technology</w:t>
      </w:r>
      <w:proofErr w:type="spellEnd"/>
      <w:r w:rsidRPr="00E34E46">
        <w:t xml:space="preserve"> Accessible: A Case Study in Social Policy and Procurement » dans </w:t>
      </w:r>
      <w:r w:rsidRPr="00E34E46">
        <w:rPr>
          <w:i/>
        </w:rPr>
        <w:t xml:space="preserve">Public </w:t>
      </w:r>
      <w:proofErr w:type="spellStart"/>
      <w:r w:rsidRPr="00E34E46">
        <w:rPr>
          <w:i/>
        </w:rPr>
        <w:t>Contract</w:t>
      </w:r>
      <w:proofErr w:type="spellEnd"/>
      <w:r w:rsidRPr="00E34E46">
        <w:rPr>
          <w:i/>
        </w:rPr>
        <w:t xml:space="preserve"> Law Journal</w:t>
      </w:r>
      <w:r w:rsidRPr="00E34E46">
        <w:t xml:space="preserve">, </w:t>
      </w:r>
      <w:r w:rsidRPr="00E34E46">
        <w:rPr>
          <w:i/>
        </w:rPr>
        <w:t>33</w:t>
      </w:r>
      <w:r w:rsidRPr="00E34E46">
        <w:t>(4), p. 667-724.</w:t>
      </w:r>
    </w:p>
    <w:p w14:paraId="1A379007" w14:textId="77777777" w:rsidR="000D3AD2" w:rsidRPr="00E34E46" w:rsidRDefault="000D3AD2">
      <w:pPr>
        <w:spacing w:before="0" w:after="160" w:line="259" w:lineRule="auto"/>
        <w:ind w:firstLine="0"/>
        <w:textAlignment w:val="auto"/>
        <w:rPr>
          <w:rFonts w:cstheme="majorBidi"/>
          <w:b/>
          <w:bCs/>
          <w:sz w:val="36"/>
          <w:szCs w:val="36"/>
        </w:rPr>
      </w:pPr>
      <w:r w:rsidRPr="00E34E46">
        <w:br w:type="page"/>
      </w:r>
    </w:p>
    <w:p w14:paraId="27E276AD" w14:textId="3F8CDE43" w:rsidR="006826FE" w:rsidRPr="00E34E46" w:rsidRDefault="006826FE" w:rsidP="00B56537">
      <w:pPr>
        <w:pStyle w:val="Heading2"/>
      </w:pPr>
      <w:bookmarkStart w:id="190" w:name="_Toc224836484"/>
      <w:bookmarkStart w:id="191" w:name="_Toc224836712"/>
      <w:r w:rsidRPr="00E34E46">
        <w:lastRenderedPageBreak/>
        <w:t xml:space="preserve">Annexe A : </w:t>
      </w:r>
      <w:bookmarkEnd w:id="184"/>
      <w:r w:rsidRPr="00E34E46">
        <w:t>Ressources et boîtes à outils pour l’approvisionnement accessible</w:t>
      </w:r>
      <w:bookmarkEnd w:id="190"/>
      <w:bookmarkEnd w:id="191"/>
    </w:p>
    <w:p w14:paraId="2AF62555" w14:textId="5316FECF" w:rsidR="00C74C9F" w:rsidRPr="00E34E46" w:rsidRDefault="006E53AB" w:rsidP="00B56537">
      <w:pPr>
        <w:pStyle w:val="Heading3"/>
      </w:pPr>
      <w:bookmarkStart w:id="192" w:name="_Toc210828569"/>
      <w:r w:rsidRPr="00E34E46">
        <w:t>Boîtes à outils et ressources pour l’approvisionnement accessible</w:t>
      </w:r>
      <w:bookmarkEnd w:id="192"/>
    </w:p>
    <w:p w14:paraId="345CEC60" w14:textId="360F7594" w:rsidR="006D4A9A" w:rsidRPr="00E34E46" w:rsidRDefault="006615A0" w:rsidP="00B56537">
      <w:pPr>
        <w:pStyle w:val="Heading4"/>
      </w:pPr>
      <w:bookmarkStart w:id="193" w:name="_Toc210828570"/>
      <w:r w:rsidRPr="00E34E46">
        <w:t>Campus accessible</w:t>
      </w:r>
      <w:bookmarkEnd w:id="193"/>
    </w:p>
    <w:p w14:paraId="4E324D96" w14:textId="3BDA2FE5" w:rsidR="006615A0" w:rsidRPr="00E34E46" w:rsidRDefault="00E54588" w:rsidP="00845970">
      <w:r w:rsidRPr="00E34E46">
        <w:t>Développement : Groupe de travail sur l’approvisionnement accessible du Conseil des universités de l’Ontario. Donne un aperçu des changements législatifs, de la rédaction de documents et de la formation de parties prenantes et aborde les différents domaines de l’approvisionnement.</w:t>
      </w:r>
      <w:r w:rsidR="002238E3" w:rsidRPr="00E34E46">
        <w:t xml:space="preserve"> </w:t>
      </w:r>
      <w:hyperlink r:id="rId120" w:history="1">
        <w:r w:rsidRPr="00E34E46">
          <w:rPr>
            <w:rStyle w:val="Hyperlink"/>
          </w:rPr>
          <w:t>COU Accessible Procurement Guide 2018</w:t>
        </w:r>
      </w:hyperlink>
    </w:p>
    <w:p w14:paraId="35EF8FEF" w14:textId="48B7203F" w:rsidR="006826FE" w:rsidRPr="00E34E46" w:rsidRDefault="006826FE" w:rsidP="00B56537">
      <w:pPr>
        <w:pStyle w:val="Heading4"/>
      </w:pPr>
      <w:bookmarkStart w:id="194" w:name="_Toc210828571"/>
      <w:r w:rsidRPr="00E34E46">
        <w:t>Buy IT</w:t>
      </w:r>
      <w:bookmarkEnd w:id="194"/>
    </w:p>
    <w:p w14:paraId="4271896F" w14:textId="71FD533A" w:rsidR="006826FE" w:rsidRPr="00E34E46" w:rsidRDefault="006826FE" w:rsidP="00B56537">
      <w:r w:rsidRPr="00E34E46">
        <w:rPr>
          <w:rStyle w:val="Emphasis"/>
        </w:rPr>
        <w:t xml:space="preserve">Buy IT! est une ressource en ligne créée par Partnership on </w:t>
      </w:r>
      <w:proofErr w:type="spellStart"/>
      <w:r w:rsidRPr="00E34E46">
        <w:rPr>
          <w:rStyle w:val="Emphasis"/>
        </w:rPr>
        <w:t>Employment</w:t>
      </w:r>
      <w:proofErr w:type="spellEnd"/>
      <w:r w:rsidRPr="00E34E46">
        <w:rPr>
          <w:rStyle w:val="Emphasis"/>
        </w:rPr>
        <w:t xml:space="preserve"> &amp; Accessible </w:t>
      </w:r>
      <w:proofErr w:type="spellStart"/>
      <w:r w:rsidRPr="00E34E46">
        <w:rPr>
          <w:rStyle w:val="Emphasis"/>
        </w:rPr>
        <w:t>Technology</w:t>
      </w:r>
      <w:proofErr w:type="spellEnd"/>
      <w:r w:rsidRPr="00E34E46">
        <w:rPr>
          <w:rStyle w:val="Emphasis"/>
        </w:rPr>
        <w:t xml:space="preserve"> (PEAT), qui aide les employeurs et leur équipe responsable des achats à intégrer l’accessibilité et la convivialité dans leurs processus </w:t>
      </w:r>
      <w:r w:rsidRPr="00E34E46">
        <w:rPr>
          <w:rStyle w:val="Emphasis"/>
        </w:rPr>
        <w:lastRenderedPageBreak/>
        <w:t xml:space="preserve">d’approvisionnement de technologies de l’information et de la communication (TIC). Cette ressource fait en sorte que les TIC qu’une organisation achète et met en œuvre fonctionnent pour tout le monde, </w:t>
      </w:r>
      <w:r w:rsidRPr="00E34E46">
        <w:t xml:space="preserve">y compris les employés, les chercheurs d’emploi et les clients en situation de handicap. Vous trouverez d’autres renseignements à la page de </w:t>
      </w:r>
      <w:hyperlink r:id="rId121" w:history="1">
        <w:r w:rsidRPr="00E34E46">
          <w:rPr>
            <w:rStyle w:val="Hyperlink"/>
          </w:rPr>
          <w:t>Buy IT</w:t>
        </w:r>
      </w:hyperlink>
      <w:r w:rsidRPr="00E34E46">
        <w:t>.</w:t>
      </w:r>
    </w:p>
    <w:p w14:paraId="18B2375A" w14:textId="77777777" w:rsidR="006826FE" w:rsidRPr="00E34E46" w:rsidRDefault="006826FE" w:rsidP="00B56537">
      <w:pPr>
        <w:pStyle w:val="Heading4"/>
      </w:pPr>
      <w:bookmarkStart w:id="195" w:name="_Toc168722590"/>
      <w:bookmarkStart w:id="196" w:name="_Toc210828572"/>
      <w:proofErr w:type="spellStart"/>
      <w:r w:rsidRPr="00E34E46">
        <w:t>Disability:IN</w:t>
      </w:r>
      <w:bookmarkEnd w:id="195"/>
      <w:bookmarkEnd w:id="196"/>
      <w:proofErr w:type="spellEnd"/>
    </w:p>
    <w:p w14:paraId="08022AE0" w14:textId="1F46EE12" w:rsidR="006826FE" w:rsidRPr="00E34E46" w:rsidRDefault="006826FE" w:rsidP="00B56537">
      <w:bookmarkStart w:id="197" w:name="_Toc168722591"/>
      <w:r w:rsidRPr="00E34E46">
        <w:t xml:space="preserve">Cette boîte à outils d’approvisionnement accessible </w:t>
      </w:r>
      <w:proofErr w:type="spellStart"/>
      <w:r w:rsidRPr="00E34E46">
        <w:t>Disability:IN</w:t>
      </w:r>
      <w:proofErr w:type="spellEnd"/>
      <w:r w:rsidRPr="00E34E46">
        <w:t xml:space="preserve"> est conçue pour aider les entreprises à acheter et à vendre des produits et des services technologiques accessibles aux personnes en situation de handicap sur le lieu de travail, sur le marché et dans la chaîne d’approvisionnement. L’intégration de l’accessibilité dans le processus d’approvisionnement garantit que les personnes en situation de handicap ne sont pas exclues des environnements numériques d’aujourd’hui.</w:t>
      </w:r>
      <w:r w:rsidR="002238E3" w:rsidRPr="00E34E46">
        <w:t xml:space="preserve"> </w:t>
      </w:r>
      <w:r w:rsidRPr="00E34E46">
        <w:t xml:space="preserve">Pour en savoir plus, visitez la page </w:t>
      </w:r>
      <w:hyperlink r:id="rId122" w:anchor=":~:text=Accessibility%3A%20This%20Toolkit%20uses%20the,interact%20with%20all%20its%20functions" w:history="1">
        <w:r w:rsidRPr="00E34E46">
          <w:rPr>
            <w:rStyle w:val="Hyperlink"/>
          </w:rPr>
          <w:t>Disability.in</w:t>
        </w:r>
        <w:bookmarkEnd w:id="197"/>
      </w:hyperlink>
    </w:p>
    <w:p w14:paraId="5633892C" w14:textId="77777777" w:rsidR="006826FE" w:rsidRPr="00E34E46" w:rsidRDefault="006826FE" w:rsidP="00B56537">
      <w:pPr>
        <w:pStyle w:val="Heading4"/>
      </w:pPr>
      <w:bookmarkStart w:id="198" w:name="_Toc210828573"/>
      <w:r w:rsidRPr="00E34E46">
        <w:lastRenderedPageBreak/>
        <w:t>Éléments fondamentaux de l’approvisionnement accessible</w:t>
      </w:r>
      <w:bookmarkEnd w:id="198"/>
    </w:p>
    <w:p w14:paraId="122246DC" w14:textId="26E119C5" w:rsidR="006826FE" w:rsidRPr="00E34E46" w:rsidRDefault="006826FE" w:rsidP="00B56537">
      <w:r w:rsidRPr="00E34E46">
        <w:t xml:space="preserve">Les éléments fondamentaux de l’approvisionnement accessible sont des offres de Procure Access, une initiative interentreprises de </w:t>
      </w:r>
      <w:proofErr w:type="spellStart"/>
      <w:r w:rsidRPr="00E34E46">
        <w:t>Disability:IN</w:t>
      </w:r>
      <w:proofErr w:type="spellEnd"/>
      <w:r w:rsidRPr="00E34E46">
        <w:t xml:space="preserve">. Ils offrent un aperçu de ce qui doit être mis en œuvre pour obtenir un programme d’approvisionnement accessible efficace. Plus de détails figurent à la page </w:t>
      </w:r>
      <w:hyperlink r:id="rId123" w:history="1">
        <w:r w:rsidRPr="00E34E46">
          <w:rPr>
            <w:rStyle w:val="Hyperlink"/>
          </w:rPr>
          <w:t>Accessible Procurement Building Blocks</w:t>
        </w:r>
      </w:hyperlink>
      <w:r w:rsidRPr="00E34E46">
        <w:t>.</w:t>
      </w:r>
    </w:p>
    <w:p w14:paraId="00653523" w14:textId="64248BC4" w:rsidR="005F29B4" w:rsidRPr="00E34E46" w:rsidRDefault="005F29B4" w:rsidP="00B56537">
      <w:pPr>
        <w:pStyle w:val="Heading3"/>
        <w:rPr>
          <w:rFonts w:eastAsia="Times New Roman"/>
        </w:rPr>
      </w:pPr>
      <w:bookmarkStart w:id="199" w:name="_Toc210828574"/>
      <w:r w:rsidRPr="00E34E46">
        <w:t>Législation canadienne</w:t>
      </w:r>
      <w:bookmarkEnd w:id="199"/>
    </w:p>
    <w:p w14:paraId="5C3D64AF" w14:textId="77777777" w:rsidR="005F29B4" w:rsidRPr="00E34E46" w:rsidRDefault="005F29B4" w:rsidP="00B56537">
      <w:pPr>
        <w:pStyle w:val="Heading4"/>
      </w:pPr>
      <w:bookmarkStart w:id="200" w:name="_Toc210828575"/>
      <w:r w:rsidRPr="00E34E46">
        <w:t>Loi canadienne sur l’accessibilité (projet de loi C-81)</w:t>
      </w:r>
      <w:bookmarkEnd w:id="200"/>
    </w:p>
    <w:p w14:paraId="3A4C7726" w14:textId="6AD45129" w:rsidR="005F29B4" w:rsidRPr="00E34E46" w:rsidRDefault="005F29B4" w:rsidP="00B56537">
      <w:r w:rsidRPr="00E34E46">
        <w:t xml:space="preserve">La </w:t>
      </w:r>
      <w:r w:rsidRPr="00E34E46">
        <w:rPr>
          <w:i/>
          <w:iCs/>
        </w:rPr>
        <w:t>Loi canadienne sur l’accessibilité</w:t>
      </w:r>
      <w:r w:rsidRPr="00E34E46">
        <w:t xml:space="preserve"> a été élaborée pour créer un Canada sans obstacles pour les personnes en situation de handicap (2019). Elle fixe les attentes pour la fonction publique fédérale et les divers secteurs d’activités, en plus de prévoir l’élaboration de plans d’accessibilité et la création de Normes d’accessibilité Canada. Cliquez sur le lien pour consulter </w:t>
      </w:r>
      <w:hyperlink r:id="rId124" w:history="1">
        <w:r w:rsidRPr="00E34E46">
          <w:rPr>
            <w:rStyle w:val="Hyperlink"/>
          </w:rPr>
          <w:t>l’intégralité de la loi</w:t>
        </w:r>
      </w:hyperlink>
      <w:r w:rsidRPr="00E34E46">
        <w:t>.</w:t>
      </w:r>
    </w:p>
    <w:p w14:paraId="419F0BE0" w14:textId="77777777" w:rsidR="003503A4" w:rsidRPr="00E34E46" w:rsidRDefault="003503A4" w:rsidP="00B56537">
      <w:pPr>
        <w:pStyle w:val="Heading4"/>
      </w:pPr>
      <w:bookmarkStart w:id="201" w:name="_Toc210828576"/>
      <w:proofErr w:type="spellStart"/>
      <w:r w:rsidRPr="00E34E46">
        <w:lastRenderedPageBreak/>
        <w:t>Règl</w:t>
      </w:r>
      <w:proofErr w:type="spellEnd"/>
      <w:r w:rsidRPr="00E34E46">
        <w:t xml:space="preserve">. </w:t>
      </w:r>
      <w:proofErr w:type="gramStart"/>
      <w:r w:rsidRPr="00E34E46">
        <w:t>de</w:t>
      </w:r>
      <w:proofErr w:type="gramEnd"/>
      <w:r w:rsidRPr="00E34E46">
        <w:t xml:space="preserve"> l’Ont. 191/11 : Normes d’accessibilité intégrées</w:t>
      </w:r>
      <w:bookmarkEnd w:id="201"/>
    </w:p>
    <w:p w14:paraId="4B9DD91A" w14:textId="56FE0685" w:rsidR="003503A4" w:rsidRPr="00E34E46" w:rsidRDefault="003503A4" w:rsidP="00B56537">
      <w:r w:rsidRPr="00E34E46">
        <w:t xml:space="preserve">Cette norme est une des premières au Canada à avoir mentionné l’approvisionnement dans le contexte de l’accessibilité. Les normes sont liées à la </w:t>
      </w:r>
      <w:r w:rsidRPr="00E34E46">
        <w:rPr>
          <w:i/>
          <w:iCs/>
        </w:rPr>
        <w:t>Loi de 2005 sur l’accessibilité pour les personnes handicapées de l’Ontario</w:t>
      </w:r>
      <w:r w:rsidRPr="00E34E46">
        <w:t xml:space="preserve">. Cliquez sur le lien pour consulter </w:t>
      </w:r>
      <w:hyperlink r:id="rId125" w:history="1">
        <w:r w:rsidRPr="00E34E46">
          <w:rPr>
            <w:rStyle w:val="Hyperlink"/>
          </w:rPr>
          <w:t>l’intégralité du règlement</w:t>
        </w:r>
      </w:hyperlink>
      <w:r w:rsidRPr="00E34E46">
        <w:t>.</w:t>
      </w:r>
    </w:p>
    <w:p w14:paraId="11FAE00A" w14:textId="77777777" w:rsidR="003503A4" w:rsidRPr="00E34E46" w:rsidRDefault="003503A4" w:rsidP="00B56537">
      <w:pPr>
        <w:pStyle w:val="Heading4"/>
      </w:pPr>
      <w:bookmarkStart w:id="202" w:name="_Toc210828577"/>
      <w:r w:rsidRPr="00E34E46">
        <w:t>Stratégie d’approvisionnement auprès des entreprises autochtones du gouvernement fédéral du Canada.</w:t>
      </w:r>
      <w:bookmarkEnd w:id="202"/>
      <w:r w:rsidRPr="00E34E46">
        <w:t xml:space="preserve"> </w:t>
      </w:r>
    </w:p>
    <w:p w14:paraId="00A9A4E6" w14:textId="7F27FE1B" w:rsidR="003503A4" w:rsidRPr="00E34E46" w:rsidRDefault="003503A4" w:rsidP="004E38A7">
      <w:r w:rsidRPr="00E34E46">
        <w:t>Parallèlement aux initiatives d’approvisionnement standard, le gouvernement fédéral a créé une Stratégie d’approvisionnement auprès des entreprises autochtones. C’est un des seuls programmes qui traite d’un programme de marchés réservés au Canada. D’autres renseignements sont fournis sur les gouvernements.</w:t>
      </w:r>
    </w:p>
    <w:p w14:paraId="6B6FF7E5" w14:textId="77777777" w:rsidR="003503A4" w:rsidRPr="00E34E46" w:rsidRDefault="003503A4" w:rsidP="00B56537">
      <w:pPr>
        <w:pStyle w:val="Heading4"/>
      </w:pPr>
      <w:bookmarkStart w:id="203" w:name="_Toc210828578"/>
      <w:r w:rsidRPr="00E34E46">
        <w:t>Guide des approvisionnements d’</w:t>
      </w:r>
      <w:proofErr w:type="spellStart"/>
      <w:r w:rsidRPr="00E34E46">
        <w:t>AchatsCanada</w:t>
      </w:r>
      <w:bookmarkEnd w:id="203"/>
      <w:proofErr w:type="spellEnd"/>
    </w:p>
    <w:p w14:paraId="41860B0C" w14:textId="7AB5F856" w:rsidR="003503A4" w:rsidRPr="00E34E46" w:rsidRDefault="003503A4" w:rsidP="004E38A7">
      <w:pPr>
        <w:rPr>
          <w:shd w:val="clear" w:color="auto" w:fill="FFFFFF"/>
        </w:rPr>
      </w:pPr>
      <w:r w:rsidRPr="00E34E46">
        <w:t xml:space="preserve">Le guide des approvisionnements fait référence aux politiques et aux </w:t>
      </w:r>
      <w:r w:rsidRPr="00E34E46">
        <w:rPr>
          <w:shd w:val="clear" w:color="auto" w:fill="FFFFFF"/>
        </w:rPr>
        <w:t xml:space="preserve">procédures pour la Direction générale de l’approvisionnement de SPAC et des bureaux régionaux de l’approvisionnement pour les aider à offrir des </w:t>
      </w:r>
      <w:r w:rsidRPr="00E34E46">
        <w:rPr>
          <w:shd w:val="clear" w:color="auto" w:fill="FFFFFF"/>
        </w:rPr>
        <w:lastRenderedPageBreak/>
        <w:t xml:space="preserve">services d’approvisionnement comme fournisseur de services communs. Ce manuel est destiné à aider les agents négociateurs de SPAC dans leurs activités d’approvisionnement. Il suit la séquence générale du processus d’approvisionnement, allant de la planification à la clôture du contrat. Il fournit également des renseignements sur les réglementations pertinentes, les procédures, les politiques gouvernementales et ministérielles, et plus encore. En ligne : </w:t>
      </w:r>
      <w:hyperlink r:id="rId126" w:history="1">
        <w:r w:rsidRPr="00E34E46">
          <w:rPr>
            <w:rStyle w:val="Hyperlink"/>
          </w:rPr>
          <w:t>Guide des approvisionnements – Achatsetventes.gc.ca</w:t>
        </w:r>
      </w:hyperlink>
    </w:p>
    <w:p w14:paraId="7B373B84" w14:textId="6FF0B539" w:rsidR="00C74C9F" w:rsidRPr="00E34E46" w:rsidRDefault="00C74C9F" w:rsidP="00B56537">
      <w:pPr>
        <w:pStyle w:val="Heading3"/>
        <w:rPr>
          <w:rFonts w:eastAsia="Times New Roman"/>
        </w:rPr>
      </w:pPr>
      <w:bookmarkStart w:id="204" w:name="_Toc210828579"/>
      <w:r w:rsidRPr="00E34E46">
        <w:t>Législation internationale</w:t>
      </w:r>
      <w:bookmarkEnd w:id="204"/>
    </w:p>
    <w:p w14:paraId="23319853" w14:textId="77777777" w:rsidR="006826FE" w:rsidRPr="00E34E46" w:rsidRDefault="006826FE" w:rsidP="00B56537">
      <w:pPr>
        <w:pStyle w:val="Heading4"/>
      </w:pPr>
      <w:bookmarkStart w:id="205" w:name="_Toc210828580"/>
      <w:r w:rsidRPr="00E34E46">
        <w:t>Guide pour l’adoption d’une politique d’achat de TIC accessibles de G3ict</w:t>
      </w:r>
      <w:bookmarkEnd w:id="205"/>
    </w:p>
    <w:p w14:paraId="40AD73E8" w14:textId="59D019DD" w:rsidR="006826FE" w:rsidRPr="00E34E46" w:rsidRDefault="006826FE" w:rsidP="00B56537">
      <w:r w:rsidRPr="00E34E46">
        <w:t xml:space="preserve">Global Initiative for Inclusive </w:t>
      </w:r>
      <w:proofErr w:type="spellStart"/>
      <w:r w:rsidRPr="00E34E46">
        <w:t>ICTs</w:t>
      </w:r>
      <w:proofErr w:type="spellEnd"/>
      <w:r w:rsidRPr="00E34E46">
        <w:t xml:space="preserve"> a élaboré un guide pour présenter les normes prioritaires qui définissent les critères d’accessibilité des TIC Ces normes peuvent favoriser l’inclusion de Villes intelligentes pour tous. Il fournit également une liste de vérification des actions liées aux normes TIC que les dirigeants de la ville peuvent mettre en œuvre. Guide pour l’adoption d’une politique d’achat de TIC accessibles. </w:t>
      </w:r>
      <w:hyperlink r:id="rId127" w:history="1">
        <w:r w:rsidRPr="00E34E46">
          <w:rPr>
            <w:rStyle w:val="Hyperlink"/>
          </w:rPr>
          <w:t>Document PDF disponible</w:t>
        </w:r>
      </w:hyperlink>
    </w:p>
    <w:p w14:paraId="59445742" w14:textId="01D2271F" w:rsidR="006826FE" w:rsidRPr="00E34E46" w:rsidRDefault="006E53AB" w:rsidP="00B56537">
      <w:pPr>
        <w:pStyle w:val="Heading4"/>
      </w:pPr>
      <w:bookmarkStart w:id="206" w:name="_Toc210828581"/>
      <w:r w:rsidRPr="00E34E46">
        <w:lastRenderedPageBreak/>
        <w:t>Achats de TIC par G3ict pour un gouvernement et un secteur public inclusifs : Guide pour faire participer les fournisseurs de TIC de G3ict</w:t>
      </w:r>
      <w:bookmarkEnd w:id="206"/>
    </w:p>
    <w:p w14:paraId="2DD45FDC" w14:textId="1F27AB5D" w:rsidR="006826FE" w:rsidRPr="00E34E46" w:rsidRDefault="006826FE" w:rsidP="00B56537">
      <w:r w:rsidRPr="00E34E46">
        <w:t xml:space="preserve">Global Initiative for Inclusive ICT a pour but d’aider tous les échelons des organismes gouvernementaux et du secteur public (par exemple, les gouvernements nationaux, provinciaux, territoriaux et étatiques ainsi que les administrations municipales et régionales, sans oublier les programmes financés par le gouvernement) à intégrer dans leurs politiques et leurs pratiques les technologies accessibles de l’information et de la communication (TIC). Or, les organismes gouvernementaux et ceux du secteur public doivent être bien équipés pour renforcer l’intégration de l’accessibilité dans leurs processus d’approvisionnement en TIC, notamment en ayant des échanges productifs sur l’inclusion numérique avec les fournisseurs de technologies. Ce guide de discussion aidera les gouvernements et les organismes du secteur public à se préparer à ces échanges. Ajoutons qu’il fait partie des ressources développées par G3ict et ses partenaires pour appuyer l’inclusion numérique à l’échelle mondiale. </w:t>
      </w:r>
      <w:hyperlink r:id="rId128" w:history="1">
        <w:r w:rsidRPr="00E34E46">
          <w:rPr>
            <w:rStyle w:val="Hyperlink"/>
          </w:rPr>
          <w:t>Document PDF disponible</w:t>
        </w:r>
      </w:hyperlink>
    </w:p>
    <w:p w14:paraId="476E4F71" w14:textId="77777777" w:rsidR="006826FE" w:rsidRPr="00E34E46" w:rsidRDefault="006826FE" w:rsidP="00B56537">
      <w:pPr>
        <w:pStyle w:val="Heading4"/>
      </w:pPr>
      <w:bookmarkStart w:id="207" w:name="_Toc210828582"/>
      <w:r w:rsidRPr="00E34E46">
        <w:lastRenderedPageBreak/>
        <w:t>EN 301 549 V3.2.1 (2021-03)</w:t>
      </w:r>
      <w:bookmarkEnd w:id="207"/>
    </w:p>
    <w:p w14:paraId="6DEA77B1" w14:textId="113B8887" w:rsidR="006826FE" w:rsidRPr="00E34E46" w:rsidRDefault="006826FE" w:rsidP="00B56537">
      <w:pPr>
        <w:rPr>
          <w:sz w:val="18"/>
          <w:szCs w:val="18"/>
        </w:rPr>
      </w:pPr>
      <w:r w:rsidRPr="00E34E46">
        <w:t xml:space="preserve">Il s’agit de la norme européenne harmonisée applicable aux produits et services liés aux TIC. Ces exigences comprennent les Règles pour l’accessibilité des contenus Web et sont axées sur les besoins et le fonctionnement des humains. C’est la norme mondiale de référence en matière d’approvisionnement en TIC. Le document </w:t>
      </w:r>
      <w:hyperlink r:id="rId129" w:tgtFrame="_blank" w:history="1">
        <w:r w:rsidRPr="00E34E46">
          <w:rPr>
            <w:rStyle w:val="Hyperlink"/>
          </w:rPr>
          <w:t>EN 301 549.pdf</w:t>
        </w:r>
      </w:hyperlink>
      <w:r w:rsidRPr="00E34E46">
        <w:t xml:space="preserve"> comprend également des directives et un protocole de test. </w:t>
      </w:r>
    </w:p>
    <w:p w14:paraId="56FEB2BE" w14:textId="77777777" w:rsidR="006826FE" w:rsidRPr="00E34E46" w:rsidRDefault="006826FE" w:rsidP="00B56537">
      <w:pPr>
        <w:pStyle w:val="Heading4"/>
      </w:pPr>
      <w:bookmarkStart w:id="208" w:name="_Toc210828583"/>
      <w:r w:rsidRPr="00E34E46">
        <w:t>ISO 2040 : 2017 Achats responsables – Lignes directrices.</w:t>
      </w:r>
      <w:bookmarkEnd w:id="208"/>
      <w:r w:rsidRPr="00E34E46">
        <w:t> </w:t>
      </w:r>
    </w:p>
    <w:p w14:paraId="041BFD2B" w14:textId="4A236091" w:rsidR="006826FE" w:rsidRPr="00E34E46" w:rsidRDefault="006826FE" w:rsidP="00B56537">
      <w:r w:rsidRPr="00E34E46">
        <w:t>Élaborée par l’Organisation internationale de normalisation, cette norme fournit des lignes directrices sur l’approvisionnement durable de biens et de services tout au long de leur cycle de vie et est utilisée par les gouvernements de partout dans le monde au moment d’instaurer des politiques. Ces produits doivent être achetés, mais ils abordent l’accessibilité comme faisant partie intégrante du bien-être communautaire. Voir l’</w:t>
      </w:r>
      <w:hyperlink r:id="rId130" w:history="1">
        <w:r w:rsidRPr="00E34E46">
          <w:rPr>
            <w:rStyle w:val="Hyperlink"/>
          </w:rPr>
          <w:t>extrait de la norme ISO</w:t>
        </w:r>
      </w:hyperlink>
      <w:r w:rsidRPr="00E34E46">
        <w:t>.</w:t>
      </w:r>
    </w:p>
    <w:p w14:paraId="40CBFB71" w14:textId="77777777" w:rsidR="006826FE" w:rsidRPr="00E34E46" w:rsidRDefault="006826FE" w:rsidP="00B56537">
      <w:pPr>
        <w:pStyle w:val="Heading4"/>
      </w:pPr>
      <w:bookmarkStart w:id="209" w:name="_Toc210828584"/>
      <w:r w:rsidRPr="00E34E46">
        <w:lastRenderedPageBreak/>
        <w:t>HLCM Procurement Network: Guidelines on the Implications of Indicator 8: Procurement (UNDIS)</w:t>
      </w:r>
      <w:bookmarkEnd w:id="209"/>
    </w:p>
    <w:p w14:paraId="6C79E6F4" w14:textId="05B6B64A" w:rsidR="006826FE" w:rsidRPr="00E34E46" w:rsidRDefault="006826FE" w:rsidP="00B56537">
      <w:r w:rsidRPr="00E34E46">
        <w:t>Document d’orientation et stratégie destinés aux entités de l’ONU, la Stratégie des Nations Unies pour l’inclusion du handicap (UNDIS) traite de l’accessibilité et de l’inclusion des personnes en situation de handicap, des activités à la prestation de services. Elle fournit le cadre de référence en matière d’approvisionnement accessible à l’échelle mondiale, qui est intimement lié à la Convention relative aux droits des personnes handicapées (CDPH) et à la mesure des Objectifs de développement durable (ODD).</w:t>
      </w:r>
    </w:p>
    <w:p w14:paraId="1B9E14BB" w14:textId="557579E9" w:rsidR="006826FE" w:rsidRPr="00E34E46" w:rsidRDefault="00525013" w:rsidP="00B56537">
      <w:pPr>
        <w:pStyle w:val="Heading4"/>
      </w:pPr>
      <w:bookmarkStart w:id="210" w:name="_Toc210828585"/>
      <w:r w:rsidRPr="00E34E46">
        <w:t>Règles WCAG de W3C</w:t>
      </w:r>
      <w:bookmarkEnd w:id="210"/>
    </w:p>
    <w:p w14:paraId="1A8E079A" w14:textId="77777777" w:rsidR="006826FE" w:rsidRPr="00E34E46" w:rsidRDefault="006826FE" w:rsidP="00B56537">
      <w:r w:rsidRPr="00E34E46">
        <w:t xml:space="preserve">Les WCAG font partie d’une série de règles sur l’accessibilité du Web publiée par l’Initiative pour l’accessibilité du Web (WAI) du World Wide Web Consortium (W3C), la principale organisation internationale de normalisation pour Internet. Il s’agit d’un ensemble de recommandations visant à rendre le contenu Web plus accessible aux personnes en situation de handicap et aux agents utilisateurs, y compris les appareils fortement limités, comme les </w:t>
      </w:r>
      <w:r w:rsidRPr="00E34E46">
        <w:lastRenderedPageBreak/>
        <w:t xml:space="preserve">téléphones cellulaires. Pour en savoir plus, consulter les </w:t>
      </w:r>
      <w:r w:rsidRPr="00E34E46">
        <w:rPr>
          <w:rStyle w:val="Hyperlink"/>
        </w:rPr>
        <w:t>Règles pour l’accessibilité des contenus Web (WCAG)</w:t>
      </w:r>
      <w:r w:rsidRPr="00E34E46">
        <w:t>.</w:t>
      </w:r>
    </w:p>
    <w:p w14:paraId="55C6653A" w14:textId="1A6E3D49" w:rsidR="006826FE" w:rsidRPr="00E34E46" w:rsidRDefault="006826FE" w:rsidP="00B56537">
      <w:pPr>
        <w:pStyle w:val="Heading4"/>
      </w:pPr>
      <w:bookmarkStart w:id="211" w:name="_Toc210828586"/>
      <w:r w:rsidRPr="00E34E46">
        <w:t>U.S. Access Board – Section 508</w:t>
      </w:r>
      <w:bookmarkEnd w:id="211"/>
    </w:p>
    <w:p w14:paraId="37264A72" w14:textId="0E99233F" w:rsidR="006826FE" w:rsidRPr="00E34E46" w:rsidRDefault="006826FE" w:rsidP="00B56537">
      <w:pPr>
        <w:rPr>
          <w:color w:val="1B1B1B"/>
          <w:sz w:val="25"/>
          <w:szCs w:val="25"/>
        </w:rPr>
      </w:pPr>
      <w:r w:rsidRPr="00E34E46">
        <w:t xml:space="preserve">La section 508 de la </w:t>
      </w:r>
      <w:proofErr w:type="spellStart"/>
      <w:r w:rsidRPr="00E34E46">
        <w:t>Rehabilitation</w:t>
      </w:r>
      <w:proofErr w:type="spellEnd"/>
      <w:r w:rsidRPr="00E34E46">
        <w:t xml:space="preserve"> </w:t>
      </w:r>
      <w:proofErr w:type="spellStart"/>
      <w:r w:rsidRPr="00E34E46">
        <w:t>Act</w:t>
      </w:r>
      <w:proofErr w:type="spellEnd"/>
      <w:r w:rsidRPr="00E34E46">
        <w:t xml:space="preserve"> of 1973 oblige les organismes fédéraux à s’assurer que leurs technologies électroniques et leurs TI sont accessibles aux personnes en situation de handicap. Il peut s’agir de sites Web, de logiciels, de matériel informatique, ou d’autres formes de technologie. La loi vise à éliminer les obstacles dans les technologies de l’information, à offrir de nouvelles possibilités aux personnes en situation de handicap et à encourager le développement de technologies qui contribueront à ces objectifs. Les exigences de cette section devraient être introduites dès le début du processus de cycle de vie de l’approvisionnement des technologies de l’information et de la communication (TIC) et se poursuivre tout au long des processus de développement et de test. Ainsi, il ne devrait y avoir aucune surprise pendant ou après la mise en œuvre. Pour en savoir plus : </w:t>
      </w:r>
      <w:hyperlink r:id="rId131" w:anchor="section-508-federal-electronic-and-information-technology" w:history="1">
        <w:r w:rsidRPr="00E34E46">
          <w:rPr>
            <w:rStyle w:val="Hyperlink"/>
          </w:rPr>
          <w:t>Section 508</w:t>
        </w:r>
      </w:hyperlink>
      <w:r w:rsidRPr="00E34E46">
        <w:t>.</w:t>
      </w:r>
    </w:p>
    <w:p w14:paraId="76AAE8C1" w14:textId="77777777" w:rsidR="00DD096E" w:rsidRPr="00E34E46" w:rsidRDefault="00DD096E" w:rsidP="00B56537">
      <w:pPr>
        <w:rPr>
          <w:rFonts w:cstheme="majorBidi"/>
          <w:color w:val="0F4761" w:themeColor="accent1" w:themeShade="BF"/>
          <w:sz w:val="32"/>
          <w:szCs w:val="32"/>
        </w:rPr>
      </w:pPr>
      <w:bookmarkStart w:id="212" w:name="_Toc168722592"/>
      <w:r w:rsidRPr="00E34E46">
        <w:br w:type="page"/>
      </w:r>
    </w:p>
    <w:p w14:paraId="1EFB9E90" w14:textId="1231D71D" w:rsidR="002F3A1F" w:rsidRPr="00E34E46" w:rsidRDefault="002F3A1F" w:rsidP="00B56537">
      <w:pPr>
        <w:pStyle w:val="Heading2"/>
      </w:pPr>
      <w:bookmarkStart w:id="213" w:name="_Toc224836485"/>
      <w:bookmarkStart w:id="214" w:name="_Toc224836713"/>
      <w:r w:rsidRPr="00E34E46">
        <w:lastRenderedPageBreak/>
        <w:t>Annexe B : Graphiques sur l’approvisionnement accessible</w:t>
      </w:r>
      <w:bookmarkEnd w:id="212"/>
      <w:bookmarkEnd w:id="213"/>
      <w:bookmarkEnd w:id="214"/>
    </w:p>
    <w:p w14:paraId="35FECEE8" w14:textId="0898A80C" w:rsidR="002F3A1F" w:rsidRPr="00E34E46" w:rsidRDefault="002F3A1F" w:rsidP="00B56537">
      <w:pPr>
        <w:rPr>
          <w:rFonts w:eastAsia="Verdana"/>
        </w:rPr>
      </w:pPr>
      <w:r w:rsidRPr="00E34E46">
        <w:t>La section qui suit présente le processus de mise en œuvre pour l’approvisionnement accessible. Bien que le processus soit adapté à chaque contexte d’achat, nous l’avons divisé en deux phases : la pré-attribution et la post-attribution. L’objectif du processus est de combler les besoins des utilisateurs et de faire en sorte que les obstacles soient ciblés et supprimés et qu’ils ne réapparaîtront plus.</w:t>
      </w:r>
    </w:p>
    <w:p w14:paraId="0B5476E5" w14:textId="1D1632DA" w:rsidR="002F3A1F" w:rsidRPr="00E34E46" w:rsidRDefault="002F3A1F" w:rsidP="00B56537">
      <w:pPr>
        <w:rPr>
          <w:rFonts w:eastAsia="Verdana"/>
        </w:rPr>
      </w:pPr>
      <w:r w:rsidRPr="00E34E46">
        <w:t>Tout comme l’approvisionnement en général, l’approvisionnement accessible peut être divisé en deux grandes phases : la phase pré-attribution et la phase post-attribution.</w:t>
      </w:r>
    </w:p>
    <w:p w14:paraId="4261F626" w14:textId="77A99B53" w:rsidR="002F3A1F" w:rsidRPr="00E34E46" w:rsidRDefault="002F3A1F" w:rsidP="00B56537">
      <w:r w:rsidRPr="00E34E46">
        <w:rPr>
          <w:b/>
        </w:rPr>
        <w:t>Phase pré-attribution :</w:t>
      </w:r>
      <w:r w:rsidRPr="00E34E46">
        <w:t xml:space="preserve"> Cette phase comprend toutes les activités qui ont lieu avant que la signature du contrat entre l’acheteur et le fournisseur. Citons notamment la planification et l’élaboration de la stratégie d’achat, l’évaluation des risques, l’analyse du marché, l’invitation à soumissionner, l’évaluation des soumissions, les tests d’accessibilité, la </w:t>
      </w:r>
      <w:r w:rsidRPr="00E34E46">
        <w:lastRenderedPageBreak/>
        <w:t>communication des résultats, puis la négociation, la rédaction et la signature du contrat.</w:t>
      </w:r>
    </w:p>
    <w:p w14:paraId="432CEA2B" w14:textId="77777777" w:rsidR="002F3A1F" w:rsidRPr="00E34E46" w:rsidRDefault="002F3A1F" w:rsidP="00B56537">
      <w:r w:rsidRPr="00E34E46">
        <w:rPr>
          <w:b/>
        </w:rPr>
        <w:t xml:space="preserve">Phase post-attribution : </w:t>
      </w:r>
      <w:r w:rsidRPr="00E34E46">
        <w:t>La phase post-attribution englobe toutes les activités qui se déroulent après l’attribution du contrat. Mentionnons entre autres l’acquisition et la mise en œuvre des services, la correction préalable au lancement, les tests de correction, la gestion du changement, l’intégration des systèmes, la gestion de la relation collaborative avec le fournisseur et le suivi du rendement.</w:t>
      </w:r>
    </w:p>
    <w:p w14:paraId="2D204FB6" w14:textId="77777777" w:rsidR="002F3A1F" w:rsidRPr="00E34E46" w:rsidRDefault="002F3A1F" w:rsidP="00B56537">
      <w:r w:rsidRPr="00E34E46">
        <w:t>Ces deux phases sont primordiales à la réussite du processus d’approvisionnement. La phase pré-attribution est axée sur la sélection du meilleur fournisseur, tandis que la phase post-attribution veille à la gestion efficace du contrat et au respect des livrables.</w:t>
      </w:r>
    </w:p>
    <w:p w14:paraId="5F135E5D" w14:textId="40B8BFF4" w:rsidR="00885359" w:rsidRPr="00E34E46" w:rsidRDefault="002F3A1F" w:rsidP="00B56537">
      <w:r w:rsidRPr="00E34E46">
        <w:t>La section qui suit illustre sommairement, par un graphique, certaines étapes clés du processus d’approvisionnement. Ces diagrammes reposent sur un schéma du processus d’approvisionnement accessible de l’Université de Melbourne.</w:t>
      </w:r>
    </w:p>
    <w:p w14:paraId="2B2DBB66" w14:textId="5DFE8B8B" w:rsidR="0027370E" w:rsidRPr="00E34E46" w:rsidRDefault="00D47E6B" w:rsidP="00B56537">
      <w:r w:rsidRPr="00E34E46">
        <w:rPr>
          <w:b/>
        </w:rPr>
        <w:lastRenderedPageBreak/>
        <w:t>Citation :</w:t>
      </w:r>
      <w:r w:rsidRPr="00E34E46">
        <w:t xml:space="preserve"> </w:t>
      </w:r>
      <w:proofErr w:type="spellStart"/>
      <w:r w:rsidRPr="00E34E46">
        <w:t>University</w:t>
      </w:r>
      <w:proofErr w:type="spellEnd"/>
      <w:r w:rsidRPr="00E34E46">
        <w:t xml:space="preserve"> of Melbourne. (16 novembre 2017). </w:t>
      </w:r>
      <w:r w:rsidRPr="00E34E46">
        <w:rPr>
          <w:i/>
        </w:rPr>
        <w:t xml:space="preserve">Accessible Procurement </w:t>
      </w:r>
      <w:proofErr w:type="spellStart"/>
      <w:r w:rsidRPr="00E34E46">
        <w:rPr>
          <w:i/>
        </w:rPr>
        <w:t>Flowchart</w:t>
      </w:r>
      <w:proofErr w:type="spellEnd"/>
      <w:r w:rsidRPr="00E34E46">
        <w:t xml:space="preserve">. </w:t>
      </w:r>
      <w:proofErr w:type="spellStart"/>
      <w:r w:rsidRPr="00E34E46">
        <w:t>University</w:t>
      </w:r>
      <w:proofErr w:type="spellEnd"/>
      <w:r w:rsidRPr="00E34E46">
        <w:t xml:space="preserve"> of Melbourne, </w:t>
      </w:r>
      <w:proofErr w:type="spellStart"/>
      <w:r w:rsidRPr="00E34E46">
        <w:t>Accessibility</w:t>
      </w:r>
      <w:proofErr w:type="spellEnd"/>
      <w:r w:rsidRPr="00E34E46">
        <w:t xml:space="preserve">, Project Management. En ligne : </w:t>
      </w:r>
      <w:hyperlink r:id="rId132" w:history="1">
        <w:r w:rsidRPr="00E34E46">
          <w:rPr>
            <w:rStyle w:val="Hyperlink"/>
          </w:rPr>
          <w:t xml:space="preserve">https://www.unimelb.edu.au/accessibility/project-management/procurement/flowchartAccessible Procurement </w:t>
        </w:r>
        <w:proofErr w:type="spellStart"/>
        <w:r w:rsidRPr="00E34E46">
          <w:rPr>
            <w:rStyle w:val="Hyperlink"/>
          </w:rPr>
          <w:t>Flowchart</w:t>
        </w:r>
        <w:proofErr w:type="spellEnd"/>
      </w:hyperlink>
    </w:p>
    <w:p w14:paraId="378654FD" w14:textId="25593026" w:rsidR="002F3A1F" w:rsidRPr="00E34E46" w:rsidRDefault="002F3A1F" w:rsidP="00B56537">
      <w:pPr>
        <w:pStyle w:val="Heading3"/>
      </w:pPr>
      <w:bookmarkStart w:id="215" w:name="_Toc210828588"/>
      <w:r w:rsidRPr="00E34E46">
        <w:t>Phase pré-attribution</w:t>
      </w:r>
      <w:bookmarkEnd w:id="215"/>
    </w:p>
    <w:p w14:paraId="75562A70" w14:textId="7E2DAEB1" w:rsidR="002F3A1F" w:rsidRPr="00E34E46" w:rsidRDefault="002F3A1F" w:rsidP="000F4AFC">
      <w:r w:rsidRPr="00E34E46">
        <w:t>La figure ci-dessous illustre les différentes étapes de la phase pré-attribution du processus d’approvisionnement ainsi que les différentes activités.</w:t>
      </w:r>
    </w:p>
    <w:p w14:paraId="53CAA45A" w14:textId="19E9737F" w:rsidR="00CB3E96" w:rsidRPr="00E34E46" w:rsidRDefault="00CB3E96" w:rsidP="00084836">
      <w:pPr>
        <w:pStyle w:val="Caption"/>
      </w:pPr>
      <w:bookmarkStart w:id="216" w:name="_Toc224833496"/>
      <w:r w:rsidRPr="00E34E46">
        <w:rPr>
          <w:b/>
          <w:bCs/>
        </w:rPr>
        <w:lastRenderedPageBreak/>
        <w:t xml:space="preserve">Figure </w:t>
      </w:r>
      <w:r w:rsidRPr="00E34E46">
        <w:rPr>
          <w:b/>
          <w:bCs/>
        </w:rPr>
        <w:fldChar w:fldCharType="begin"/>
      </w:r>
      <w:r w:rsidRPr="00E34E46">
        <w:rPr>
          <w:b/>
          <w:bCs/>
        </w:rPr>
        <w:instrText xml:space="preserve"> SEQ Figure \* ARABIC </w:instrText>
      </w:r>
      <w:r w:rsidRPr="00E34E46">
        <w:rPr>
          <w:b/>
          <w:bCs/>
        </w:rPr>
        <w:fldChar w:fldCharType="separate"/>
      </w:r>
      <w:r w:rsidR="005C5139" w:rsidRPr="00E34E46">
        <w:rPr>
          <w:b/>
          <w:bCs/>
          <w:noProof/>
        </w:rPr>
        <w:t>3</w:t>
      </w:r>
      <w:r w:rsidRPr="00E34E46">
        <w:rPr>
          <w:b/>
          <w:bCs/>
        </w:rPr>
        <w:fldChar w:fldCharType="end"/>
      </w:r>
      <w:r w:rsidRPr="00E34E46">
        <w:t xml:space="preserve"> </w:t>
      </w:r>
      <w:r w:rsidR="00084836" w:rsidRPr="00E34E46">
        <w:br/>
      </w:r>
      <w:r w:rsidR="00FB7B8C" w:rsidRPr="00E34E46">
        <w:t>Schéma</w:t>
      </w:r>
      <w:r w:rsidRPr="00E34E46">
        <w:t xml:space="preserve"> de la phase pré-attribution</w:t>
      </w:r>
      <w:bookmarkEnd w:id="216"/>
    </w:p>
    <w:p w14:paraId="0893564D" w14:textId="77777777" w:rsidR="005C5139" w:rsidRPr="00E34E46" w:rsidRDefault="00F81098" w:rsidP="005C5139">
      <w:pPr>
        <w:ind w:firstLine="0"/>
      </w:pPr>
      <w:r w:rsidRPr="00E34E46">
        <w:rPr>
          <w:noProof/>
        </w:rPr>
        <w:drawing>
          <wp:inline distT="0" distB="0" distL="0" distR="0" wp14:anchorId="5D252918" wp14:editId="175C0A31">
            <wp:extent cx="2637003" cy="5775666"/>
            <wp:effectExtent l="0" t="0" r="0" b="0"/>
            <wp:docPr id="1123174979" name="Picture 8" descr="Schéma de la phase de pré‑attribution, qui commence par la planification et se termine par la signature du con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4979" name="Picture 8" descr="Schéma de la phase de pré‑attribution, qui commence par la planification et se termine par la signature du contrat."/>
                    <pic:cNvPicPr/>
                  </pic:nvPicPr>
                  <pic:blipFill rotWithShape="1">
                    <a:blip r:embed="rId133" cstate="print">
                      <a:extLst>
                        <a:ext uri="{28A0092B-C50C-407E-A947-70E740481C1C}">
                          <a14:useLocalDpi xmlns:a14="http://schemas.microsoft.com/office/drawing/2010/main" val="0"/>
                        </a:ext>
                      </a:extLst>
                    </a:blip>
                    <a:srcRect t="-34" r="11718" b="-4811"/>
                    <a:stretch>
                      <a:fillRect/>
                    </a:stretch>
                  </pic:blipFill>
                  <pic:spPr bwMode="auto">
                    <a:xfrm>
                      <a:off x="0" y="0"/>
                      <a:ext cx="2662838" cy="5832252"/>
                    </a:xfrm>
                    <a:prstGeom prst="rect">
                      <a:avLst/>
                    </a:prstGeom>
                    <a:ln>
                      <a:noFill/>
                    </a:ln>
                    <a:extLst>
                      <a:ext uri="{53640926-AAD7-44D8-BBD7-CCE9431645EC}">
                        <a14:shadowObscured xmlns:a14="http://schemas.microsoft.com/office/drawing/2010/main"/>
                      </a:ext>
                    </a:extLst>
                  </pic:spPr>
                </pic:pic>
              </a:graphicData>
            </a:graphic>
          </wp:inline>
        </w:drawing>
      </w:r>
    </w:p>
    <w:p w14:paraId="6A496E11" w14:textId="77777777" w:rsidR="00231551" w:rsidRPr="00E34E46" w:rsidRDefault="002F3A1F" w:rsidP="00231551">
      <w:pPr>
        <w:ind w:firstLine="0"/>
      </w:pPr>
      <w:r w:rsidRPr="00E34E46">
        <w:lastRenderedPageBreak/>
        <w:t>Voici une brève description de chaque étape</w:t>
      </w:r>
      <w:bookmarkStart w:id="217" w:name="_Toc210828589"/>
      <w:r w:rsidR="00231551" w:rsidRPr="00E34E46">
        <w:t>.</w:t>
      </w:r>
    </w:p>
    <w:p w14:paraId="16F8E720" w14:textId="77777777" w:rsidR="00231551" w:rsidRPr="00E34E46" w:rsidRDefault="00F0027C" w:rsidP="00231551">
      <w:pPr>
        <w:ind w:firstLine="0"/>
      </w:pPr>
      <w:r w:rsidRPr="00E34E46">
        <w:rPr>
          <w:rFonts w:ascii="Arial" w:hAnsi="Arial"/>
        </w:rPr>
        <w:t xml:space="preserve">La </w:t>
      </w:r>
      <w:r w:rsidRPr="00E34E46">
        <w:rPr>
          <w:rFonts w:ascii="Arial" w:hAnsi="Arial"/>
          <w:b/>
        </w:rPr>
        <w:t>planification</w:t>
      </w:r>
      <w:r w:rsidRPr="00E34E46">
        <w:rPr>
          <w:rFonts w:ascii="Arial" w:hAnsi="Arial"/>
        </w:rPr>
        <w:t xml:space="preserve"> est la première étape du processus global. À ce stade, les acheteurs définissent les exigences et les résultats qu’ils attendent d’une initiative d’approvisionnement et établissent l’analyse de rentabilisation pour un nouveau service.</w:t>
      </w:r>
    </w:p>
    <w:p w14:paraId="767EC2A2" w14:textId="77777777" w:rsidR="00231551" w:rsidRPr="00E34E46" w:rsidRDefault="00F0027C" w:rsidP="00231551">
      <w:pPr>
        <w:ind w:firstLine="0"/>
      </w:pPr>
      <w:r w:rsidRPr="00E34E46">
        <w:rPr>
          <w:rFonts w:ascii="Arial" w:hAnsi="Arial"/>
          <w:b/>
        </w:rPr>
        <w:t>Évaluation des risques :</w:t>
      </w:r>
      <w:r w:rsidRPr="00E34E46">
        <w:rPr>
          <w:rFonts w:ascii="Arial" w:hAnsi="Arial"/>
        </w:rPr>
        <w:t xml:space="preserve"> L’évaluation des risques consiste à évaluer et à gérer les risques associés à l’achat d’un bien, d’un service ou d’une installation, tout en tenant compte des risques internes et externes et en les intégrant dans la décision d’évaluation globale pour l’achat. Il est essentiel, au moment d’évaluer les risques, d’examiner les différents angles. Il faut notamment réfléchir au risque interne sur le plan organisationnel, car les employés en situation de handicap font partie d’un milieu de travail inclusif. Par conséquent, les produits, les services et les installations doivent être conformes aux lois relatives à l’emploi (droits de la personne, emploi inclusif, etc.). Les risques juridiques doivent être abordés à différentes phases du processus, en tenant compte des valeurs d’équité et de justice, au cours de l’élaboration du contrat. Un processus d’intégration efficace des fournisseurs et les tests itératifs visant à corriger l’accessibilité garantissent que les risques opérationnels internes devront être atténués selon les normes les plus rigoureuses qui soient. Les éléments de risque externes prennent en compte les risques qui sont liés au fournisseur potentiel et qui découlent du contrat ainsi que les responsabilités et autres risques juridiques. Le non-respect des lois </w:t>
      </w:r>
      <w:r w:rsidRPr="00E34E46">
        <w:rPr>
          <w:rFonts w:ascii="Arial" w:hAnsi="Arial"/>
        </w:rPr>
        <w:lastRenderedPageBreak/>
        <w:t xml:space="preserve">et des règlements en matière d’accessibilité pose un risque important. L’achat de solutions inaccessibles peut entraîner des conséquences juridiques, des amendes ou des atteintes à la réputation de l’organisation. Par conséquent, les risques devraient être évalués. </w:t>
      </w:r>
    </w:p>
    <w:p w14:paraId="34BEA598" w14:textId="77777777" w:rsidR="00231551" w:rsidRPr="00E34E46" w:rsidRDefault="00F0027C" w:rsidP="00231551">
      <w:pPr>
        <w:ind w:firstLine="0"/>
      </w:pPr>
      <w:r w:rsidRPr="00E34E46">
        <w:rPr>
          <w:rFonts w:ascii="Arial" w:hAnsi="Arial"/>
        </w:rPr>
        <w:t>En gérant de manière proactive les risques à la fois internes et externes, l’organisation devrait promouvoir l’inclusivité et atténuer les possibles conséquences négatives associées à l’approvisionnement inaccessible.</w:t>
      </w:r>
    </w:p>
    <w:p w14:paraId="0D5CD247" w14:textId="77777777" w:rsidR="00231551" w:rsidRPr="00E34E46" w:rsidRDefault="00F0027C" w:rsidP="00231551">
      <w:pPr>
        <w:ind w:firstLine="0"/>
      </w:pPr>
      <w:r w:rsidRPr="00E34E46">
        <w:rPr>
          <w:rFonts w:ascii="Arial" w:hAnsi="Arial"/>
          <w:b/>
        </w:rPr>
        <w:t>Risque lié à l’accès aux services :</w:t>
      </w:r>
      <w:r w:rsidRPr="00E34E46">
        <w:rPr>
          <w:rFonts w:ascii="Arial" w:hAnsi="Arial"/>
        </w:rPr>
        <w:t xml:space="preserve"> Si le service est sur le Web, il existe un risque que certains utilisateurs ne puissent pas y avoir accès, à moins que l’accessibilité soit garantie. Autrement, il n’est pas pertinent de procéder à des tests d’accessibilité du Web. Le cas échéant, nous devons tester l’accessibilité physique et l’utilisabilité, puis procéder à l’approvisionnement. </w:t>
      </w:r>
    </w:p>
    <w:p w14:paraId="6F568E68" w14:textId="77777777" w:rsidR="00231551" w:rsidRPr="00E34E46" w:rsidRDefault="00F0027C" w:rsidP="00231551">
      <w:pPr>
        <w:ind w:firstLine="0"/>
      </w:pPr>
      <w:r w:rsidRPr="00E34E46">
        <w:rPr>
          <w:rFonts w:ascii="Arial" w:hAnsi="Arial"/>
        </w:rPr>
        <w:t xml:space="preserve">Toutefois, les services ne posent pas tous le même risque. Si seulement 10 personnes d’un service peuvent consulter un site Web donné, il se peut que certaines aient du mal à y accéder. </w:t>
      </w:r>
      <w:proofErr w:type="gramStart"/>
      <w:r w:rsidRPr="00E34E46">
        <w:rPr>
          <w:rFonts w:ascii="Arial" w:hAnsi="Arial"/>
        </w:rPr>
        <w:t>Par contre</w:t>
      </w:r>
      <w:proofErr w:type="gramEnd"/>
      <w:r w:rsidRPr="00E34E46">
        <w:rPr>
          <w:rFonts w:ascii="Arial" w:hAnsi="Arial"/>
        </w:rPr>
        <w:t>, s’il peut être consulté par un vaste groupe d’utilisateurs (par exemple, tous les étudiants ou tous les employés), il est presque certain qu’au moins une personne ne pourra pas y accéder si l’accessibilité n’est pas prise en compte.</w:t>
      </w:r>
    </w:p>
    <w:p w14:paraId="7BBB66D7" w14:textId="77777777" w:rsidR="003F57B1" w:rsidRPr="00E34E46" w:rsidRDefault="00F0027C" w:rsidP="003F57B1">
      <w:pPr>
        <w:ind w:firstLine="0"/>
      </w:pPr>
      <w:r w:rsidRPr="00E34E46">
        <w:rPr>
          <w:rFonts w:ascii="Arial" w:hAnsi="Arial"/>
        </w:rPr>
        <w:lastRenderedPageBreak/>
        <w:t>Les agents de l’approvisionnement devraient évaluer initialement le risque lié à l’accès au service en tenant compte des indicateurs de risque. Si un service est considéré comme présentant un risque faible, l’accessibilité devra être vérifiée par :</w:t>
      </w:r>
    </w:p>
    <w:p w14:paraId="59D11608" w14:textId="77777777" w:rsidR="003F57B1" w:rsidRPr="00E34E46" w:rsidRDefault="00F0027C" w:rsidP="003F57B1">
      <w:pPr>
        <w:pStyle w:val="ListParagraph"/>
        <w:numPr>
          <w:ilvl w:val="0"/>
          <w:numId w:val="60"/>
        </w:numPr>
      </w:pPr>
      <w:proofErr w:type="gramStart"/>
      <w:r w:rsidRPr="00E34E46">
        <w:rPr>
          <w:rFonts w:ascii="Arial" w:hAnsi="Arial"/>
        </w:rPr>
        <w:t>l’inclusion</w:t>
      </w:r>
      <w:proofErr w:type="gramEnd"/>
      <w:r w:rsidRPr="00E34E46">
        <w:rPr>
          <w:rFonts w:ascii="Arial" w:hAnsi="Arial"/>
        </w:rPr>
        <w:t xml:space="preserve"> des exigences d’accessibilité dans la DP;</w:t>
      </w:r>
    </w:p>
    <w:p w14:paraId="7CF70E87" w14:textId="77777777" w:rsidR="003F57B1" w:rsidRPr="00E34E46" w:rsidRDefault="00F0027C" w:rsidP="003F57B1">
      <w:pPr>
        <w:pStyle w:val="ListParagraph"/>
        <w:numPr>
          <w:ilvl w:val="0"/>
          <w:numId w:val="60"/>
        </w:numPr>
      </w:pPr>
      <w:proofErr w:type="gramStart"/>
      <w:r w:rsidRPr="00E34E46">
        <w:rPr>
          <w:rFonts w:ascii="Arial" w:hAnsi="Arial"/>
        </w:rPr>
        <w:t>la</w:t>
      </w:r>
      <w:proofErr w:type="gramEnd"/>
      <w:r w:rsidRPr="00E34E46">
        <w:rPr>
          <w:rFonts w:ascii="Arial" w:hAnsi="Arial"/>
        </w:rPr>
        <w:t xml:space="preserve"> réponse écrite d’un fournisseur jugée satisfaisante, qui donne confiance au personnel de l’approvisionnement;</w:t>
      </w:r>
    </w:p>
    <w:p w14:paraId="09B79CB8" w14:textId="77777777" w:rsidR="00DC29A8" w:rsidRPr="00E34E46" w:rsidRDefault="00F0027C" w:rsidP="00DC29A8">
      <w:pPr>
        <w:pStyle w:val="ListParagraph"/>
        <w:numPr>
          <w:ilvl w:val="0"/>
          <w:numId w:val="60"/>
        </w:numPr>
      </w:pPr>
      <w:proofErr w:type="gramStart"/>
      <w:r w:rsidRPr="00E34E46">
        <w:rPr>
          <w:rFonts w:ascii="Arial" w:hAnsi="Arial"/>
        </w:rPr>
        <w:t>l’inclusion</w:t>
      </w:r>
      <w:proofErr w:type="gramEnd"/>
      <w:r w:rsidRPr="00E34E46">
        <w:rPr>
          <w:rFonts w:ascii="Arial" w:hAnsi="Arial"/>
        </w:rPr>
        <w:t xml:space="preserve"> des exigences d’accessibilité dans le contrat.</w:t>
      </w:r>
    </w:p>
    <w:p w14:paraId="1B6B37B3" w14:textId="77777777" w:rsidR="00DC29A8" w:rsidRPr="00E34E46" w:rsidRDefault="00F0027C" w:rsidP="00DC29A8">
      <w:pPr>
        <w:pStyle w:val="ListParagraph"/>
        <w:numPr>
          <w:ilvl w:val="0"/>
          <w:numId w:val="60"/>
        </w:numPr>
      </w:pPr>
      <w:r w:rsidRPr="00E34E46">
        <w:rPr>
          <w:rFonts w:ascii="Arial" w:hAnsi="Arial"/>
        </w:rPr>
        <w:t>Si les agents de l’approvisionnement classent un risque d’accès au service comme élevé, la vérification sera accompagnée d’une validation, notamment :</w:t>
      </w:r>
    </w:p>
    <w:p w14:paraId="3460437A" w14:textId="77777777" w:rsidR="00B65057" w:rsidRPr="00E34E46" w:rsidRDefault="00F0027C" w:rsidP="00B65057">
      <w:pPr>
        <w:pStyle w:val="ListParagraph"/>
        <w:numPr>
          <w:ilvl w:val="0"/>
          <w:numId w:val="60"/>
        </w:numPr>
      </w:pPr>
      <w:proofErr w:type="gramStart"/>
      <w:r w:rsidRPr="00E34E46">
        <w:rPr>
          <w:rFonts w:ascii="Arial" w:hAnsi="Arial"/>
        </w:rPr>
        <w:t>l’inclusion</w:t>
      </w:r>
      <w:proofErr w:type="gramEnd"/>
      <w:r w:rsidRPr="00E34E46">
        <w:rPr>
          <w:rFonts w:ascii="Arial" w:hAnsi="Arial"/>
        </w:rPr>
        <w:t xml:space="preserve"> des exigences d’accessibilité dans la DP;</w:t>
      </w:r>
      <w:r w:rsidR="00B65057" w:rsidRPr="00E34E46">
        <w:rPr>
          <w:rFonts w:ascii="Arial" w:hAnsi="Arial"/>
        </w:rPr>
        <w:t xml:space="preserve"> </w:t>
      </w:r>
      <w:r w:rsidRPr="00E34E46">
        <w:rPr>
          <w:rFonts w:ascii="Arial" w:hAnsi="Arial"/>
        </w:rPr>
        <w:t>un test d’accessibilité Web mené pour vérifier les affirmations du fournisseur concernant la conformité, à l’aide d’une version de démonstration du produit</w:t>
      </w:r>
    </w:p>
    <w:p w14:paraId="0EA91BBC" w14:textId="1924D085" w:rsidR="00F0027C" w:rsidRPr="00E34E46" w:rsidRDefault="00F0027C" w:rsidP="00B65057">
      <w:pPr>
        <w:pStyle w:val="ListParagraph"/>
        <w:numPr>
          <w:ilvl w:val="0"/>
          <w:numId w:val="60"/>
        </w:numPr>
      </w:pPr>
      <w:r w:rsidRPr="00E34E46">
        <w:rPr>
          <w:rFonts w:ascii="Arial" w:hAnsi="Arial"/>
        </w:rPr>
        <w:t>Le responsable de l’accessibilité Web fera ensuite un compte rendu à l’équipe d’approvisionnement.</w:t>
      </w:r>
    </w:p>
    <w:p w14:paraId="0899B7B1" w14:textId="77777777" w:rsidR="00F0027C" w:rsidRPr="00E34E46" w:rsidRDefault="00F0027C" w:rsidP="00F0027C">
      <w:pPr>
        <w:spacing w:before="120" w:after="120" w:line="240" w:lineRule="auto"/>
        <w:rPr>
          <w:rFonts w:ascii="Arial" w:hAnsi="Arial"/>
        </w:rPr>
      </w:pPr>
      <w:proofErr w:type="gramStart"/>
      <w:r w:rsidRPr="00E34E46">
        <w:rPr>
          <w:rFonts w:ascii="Arial" w:hAnsi="Arial"/>
        </w:rPr>
        <w:t>l’inclusion</w:t>
      </w:r>
      <w:proofErr w:type="gramEnd"/>
      <w:r w:rsidRPr="00E34E46">
        <w:rPr>
          <w:rFonts w:ascii="Arial" w:hAnsi="Arial"/>
        </w:rPr>
        <w:t xml:space="preserve"> des exigences d’accessibilité dans le contrat.</w:t>
      </w:r>
    </w:p>
    <w:p w14:paraId="0C28C437" w14:textId="77777777" w:rsidR="00F0027C" w:rsidRPr="00E34E46" w:rsidRDefault="00F0027C" w:rsidP="00C752E0">
      <w:pPr>
        <w:rPr>
          <w:bCs/>
        </w:rPr>
      </w:pPr>
      <w:r w:rsidRPr="00E34E46">
        <w:t>Indicateurs de risques faibles</w:t>
      </w:r>
    </w:p>
    <w:p w14:paraId="12FC2D54" w14:textId="77777777" w:rsidR="00F0027C" w:rsidRPr="00E34E46" w:rsidRDefault="00F0027C" w:rsidP="00C752E0">
      <w:pPr>
        <w:pStyle w:val="ListParagraph"/>
        <w:numPr>
          <w:ilvl w:val="0"/>
          <w:numId w:val="61"/>
        </w:numPr>
      </w:pPr>
      <w:r w:rsidRPr="00E34E46">
        <w:t>Peu d’utilisateurs</w:t>
      </w:r>
    </w:p>
    <w:p w14:paraId="6F639D98" w14:textId="77777777" w:rsidR="00F0027C" w:rsidRPr="00E34E46" w:rsidRDefault="00F0027C" w:rsidP="00C752E0">
      <w:pPr>
        <w:pStyle w:val="ListParagraph"/>
        <w:numPr>
          <w:ilvl w:val="0"/>
          <w:numId w:val="61"/>
        </w:numPr>
      </w:pPr>
      <w:r w:rsidRPr="00E34E46">
        <w:t>Petit budget octroyé au projet (ex. : moins de 50 000 $)</w:t>
      </w:r>
    </w:p>
    <w:p w14:paraId="5BA1C541" w14:textId="77777777" w:rsidR="00F0027C" w:rsidRPr="00E34E46" w:rsidRDefault="00F0027C" w:rsidP="00C752E0">
      <w:pPr>
        <w:pStyle w:val="ListParagraph"/>
        <w:numPr>
          <w:ilvl w:val="0"/>
          <w:numId w:val="61"/>
        </w:numPr>
      </w:pPr>
      <w:r w:rsidRPr="00E34E46">
        <w:lastRenderedPageBreak/>
        <w:t>Utilisation tous les six mois par le personnel</w:t>
      </w:r>
    </w:p>
    <w:p w14:paraId="68194453" w14:textId="77777777" w:rsidR="00F0027C" w:rsidRPr="00E34E46" w:rsidRDefault="00F0027C" w:rsidP="00C752E0">
      <w:pPr>
        <w:pStyle w:val="ListParagraph"/>
        <w:numPr>
          <w:ilvl w:val="0"/>
          <w:numId w:val="61"/>
        </w:numPr>
      </w:pPr>
      <w:r w:rsidRPr="00E34E46">
        <w:t>D’autres moyens d’accès peuvent être facilement trouvés</w:t>
      </w:r>
    </w:p>
    <w:p w14:paraId="2C5F0BB4" w14:textId="77777777" w:rsidR="00F0027C" w:rsidRPr="00E34E46" w:rsidRDefault="00F0027C" w:rsidP="00C752E0">
      <w:pPr>
        <w:pStyle w:val="ListParagraph"/>
        <w:numPr>
          <w:ilvl w:val="0"/>
          <w:numId w:val="61"/>
        </w:numPr>
      </w:pPr>
      <w:r w:rsidRPr="00E34E46">
        <w:t>Le fournisseur fournit des instructions écrites concernant l’accessibilité, ce qui inspire confiance au personnel des achats</w:t>
      </w:r>
    </w:p>
    <w:p w14:paraId="5550D347" w14:textId="77777777" w:rsidR="00F0027C" w:rsidRPr="00E34E46" w:rsidRDefault="00F0027C" w:rsidP="00F0027C">
      <w:pPr>
        <w:spacing w:before="120" w:after="120" w:line="240" w:lineRule="auto"/>
        <w:rPr>
          <w:rFonts w:ascii="Arial" w:hAnsi="Arial"/>
          <w:b/>
          <w:bCs/>
        </w:rPr>
      </w:pPr>
      <w:r w:rsidRPr="00E34E46">
        <w:rPr>
          <w:rFonts w:ascii="Arial" w:hAnsi="Arial"/>
          <w:b/>
        </w:rPr>
        <w:t>Indicateurs de risques élevés</w:t>
      </w:r>
    </w:p>
    <w:p w14:paraId="18C6314C" w14:textId="77777777" w:rsidR="00F0027C" w:rsidRPr="00E34E46" w:rsidRDefault="00F0027C" w:rsidP="00AD1BC6">
      <w:pPr>
        <w:pStyle w:val="ListParagraph"/>
        <w:numPr>
          <w:ilvl w:val="0"/>
          <w:numId w:val="62"/>
        </w:numPr>
      </w:pPr>
      <w:r w:rsidRPr="00E34E46">
        <w:t>Beaucoup d’utilisateurs</w:t>
      </w:r>
    </w:p>
    <w:p w14:paraId="065DF6AC" w14:textId="77777777" w:rsidR="00F0027C" w:rsidRPr="00E34E46" w:rsidRDefault="00F0027C" w:rsidP="00AD1BC6">
      <w:pPr>
        <w:pStyle w:val="ListParagraph"/>
        <w:numPr>
          <w:ilvl w:val="0"/>
          <w:numId w:val="62"/>
        </w:numPr>
      </w:pPr>
      <w:r w:rsidRPr="00E34E46">
        <w:t>Grand budget octroyé au projet (ex. : plus de 400 000 $)</w:t>
      </w:r>
    </w:p>
    <w:p w14:paraId="5DCCD197" w14:textId="77777777" w:rsidR="00F0027C" w:rsidRPr="00E34E46" w:rsidRDefault="00F0027C" w:rsidP="00AD1BC6">
      <w:pPr>
        <w:pStyle w:val="ListParagraph"/>
        <w:numPr>
          <w:ilvl w:val="0"/>
          <w:numId w:val="62"/>
        </w:numPr>
      </w:pPr>
      <w:r w:rsidRPr="00E34E46">
        <w:t>Utilisation quotidienne par le personnel</w:t>
      </w:r>
    </w:p>
    <w:p w14:paraId="15917509" w14:textId="77777777" w:rsidR="00F0027C" w:rsidRPr="00E34E46" w:rsidRDefault="00F0027C" w:rsidP="00AD1BC6">
      <w:pPr>
        <w:pStyle w:val="ListParagraph"/>
        <w:numPr>
          <w:ilvl w:val="0"/>
          <w:numId w:val="62"/>
        </w:numPr>
      </w:pPr>
      <w:r w:rsidRPr="00E34E46">
        <w:t>Aucune solution de rechange ne peut être facilement trouvée</w:t>
      </w:r>
    </w:p>
    <w:p w14:paraId="08439252" w14:textId="77777777" w:rsidR="00F0027C" w:rsidRPr="00E34E46" w:rsidRDefault="00F0027C" w:rsidP="00AD1BC6">
      <w:pPr>
        <w:pStyle w:val="ListParagraph"/>
        <w:numPr>
          <w:ilvl w:val="0"/>
          <w:numId w:val="62"/>
        </w:numPr>
      </w:pPr>
      <w:r w:rsidRPr="00E34E46">
        <w:t>Le fournisseur ne dispose pas de renseignements convaincants concernant l’accessibilité du produit</w:t>
      </w:r>
    </w:p>
    <w:p w14:paraId="2351022C" w14:textId="77777777" w:rsidR="00F0027C" w:rsidRPr="00E34E46" w:rsidRDefault="00F0027C" w:rsidP="00AD1BC6">
      <w:r w:rsidRPr="00E34E46">
        <w:rPr>
          <w:b/>
        </w:rPr>
        <w:t>Analyse du marché :</w:t>
      </w:r>
      <w:r w:rsidRPr="00E34E46">
        <w:t xml:space="preserve"> C’est à cette étape que l’acheteur se met en quête des technologies, solutions et fournisseurs sur le marché en fonction des exigences définies. D’un autre côté, le fournisseur effectue la même recherche pour cibler les initiatives d’approvisionnement auxquelles il pourrait participer.</w:t>
      </w:r>
    </w:p>
    <w:p w14:paraId="75CD162B" w14:textId="77777777" w:rsidR="00F0027C" w:rsidRPr="00E34E46" w:rsidRDefault="00F0027C" w:rsidP="00AD1BC6">
      <w:r w:rsidRPr="00E34E46">
        <w:rPr>
          <w:b/>
        </w:rPr>
        <w:lastRenderedPageBreak/>
        <w:t>Sélection des fournisseurs :</w:t>
      </w:r>
      <w:r w:rsidRPr="00E34E46">
        <w:t xml:space="preserve"> C’est à ce moment que l’exécution réelle d’une initiative d’approvisionnement commence. Après avoir effectué une étude de marché appropriée, l’acheteur commence à préparer des documents, comme la DDR, la DP et la demande de solution, qu’il pourra transmettre aux différents fournisseurs désignés. </w:t>
      </w:r>
    </w:p>
    <w:p w14:paraId="57D854B3" w14:textId="77777777" w:rsidR="00F0027C" w:rsidRPr="00E34E46" w:rsidRDefault="00F0027C" w:rsidP="00AD1BC6">
      <w:r w:rsidRPr="00E34E46">
        <w:rPr>
          <w:b/>
        </w:rPr>
        <w:t>Invitation à soumissionner :</w:t>
      </w:r>
      <w:r w:rsidRPr="00E34E46">
        <w:t xml:space="preserve"> À cette étape, l’acheteur envoie la demande de proposition aux différents fournisseurs désignés, et ces derniers commencent à travailler sur leurs propositions respectives.</w:t>
      </w:r>
    </w:p>
    <w:p w14:paraId="373143FE" w14:textId="2DD53E51" w:rsidR="00F0027C" w:rsidRPr="00E34E46" w:rsidRDefault="00F0027C" w:rsidP="00AD1BC6">
      <w:r w:rsidRPr="00E34E46">
        <w:rPr>
          <w:b/>
        </w:rPr>
        <w:t>Évaluation des soumissions et communication des résultats :</w:t>
      </w:r>
      <w:r w:rsidRPr="00E34E46">
        <w:t xml:space="preserve"> À cette étape, tandis que le fournisseur soumet ses propositions officielles basées sur le document des exigences qu’il a reçu, l’acheteur s’occupe d’évaluer les propositions, de les noter en fonction d’un mécanisme de notation défini, puis de communiquer les résultats aux fournisseurs présélectionnés afin qu’ils commencent à se préparer pour les étapes suivantes.</w:t>
      </w:r>
    </w:p>
    <w:p w14:paraId="3CC14396" w14:textId="657A95FC" w:rsidR="00F0027C" w:rsidRPr="00E34E46" w:rsidRDefault="00F0027C" w:rsidP="00AD1BC6">
      <w:r w:rsidRPr="00E34E46">
        <w:rPr>
          <w:b/>
        </w:rPr>
        <w:t>Test d’acceptation :</w:t>
      </w:r>
      <w:r w:rsidRPr="00E34E46">
        <w:t xml:space="preserve"> À cette étape, l’acheteur travaille avec les fournisseurs présélectionnés pour tester leurs solutions afin qu’elles </w:t>
      </w:r>
      <w:r w:rsidRPr="00E34E46">
        <w:lastRenderedPageBreak/>
        <w:t>répondent bel et bien aux exigences d’accessibilité définies. En plus de participer au processus de test, le fournisseur fournit également des explications ou redresse toute anomalie détectée lors des tests.</w:t>
      </w:r>
    </w:p>
    <w:p w14:paraId="5D4AAABB" w14:textId="77777777" w:rsidR="00F0027C" w:rsidRPr="00E34E46" w:rsidRDefault="00F0027C" w:rsidP="00AD1BC6">
      <w:r w:rsidRPr="00E34E46">
        <w:rPr>
          <w:b/>
        </w:rPr>
        <w:t>Évaluation des propositions :</w:t>
      </w:r>
      <w:r w:rsidRPr="00E34E46">
        <w:t xml:space="preserve"> Après avoir évalué le risque lié au service, chaque produit doit se voir attribuer une note (élevée, moyenne ou faible).</w:t>
      </w:r>
    </w:p>
    <w:p w14:paraId="1484AE97" w14:textId="77777777" w:rsidR="00F0027C" w:rsidRPr="00E34E46" w:rsidRDefault="00F0027C" w:rsidP="00AD1BC6">
      <w:pPr>
        <w:rPr>
          <w:b/>
          <w:bCs/>
        </w:rPr>
      </w:pPr>
      <w:r w:rsidRPr="00E34E46">
        <w:rPr>
          <w:b/>
        </w:rPr>
        <w:t>Indicateurs d'une évaluation élevée</w:t>
      </w:r>
    </w:p>
    <w:p w14:paraId="412A847D" w14:textId="77777777" w:rsidR="00F0027C" w:rsidRPr="00E34E46" w:rsidRDefault="00F0027C" w:rsidP="00906064">
      <w:pPr>
        <w:pStyle w:val="ListParagraph"/>
        <w:numPr>
          <w:ilvl w:val="0"/>
          <w:numId w:val="63"/>
        </w:numPr>
      </w:pPr>
      <w:r w:rsidRPr="00E34E46">
        <w:t>Le produit remplit les critères des WCAG.</w:t>
      </w:r>
    </w:p>
    <w:p w14:paraId="17297AA4" w14:textId="77777777" w:rsidR="00F0027C" w:rsidRPr="00E34E46" w:rsidRDefault="00F0027C" w:rsidP="00906064">
      <w:pPr>
        <w:pStyle w:val="ListParagraph"/>
        <w:numPr>
          <w:ilvl w:val="0"/>
          <w:numId w:val="63"/>
        </w:numPr>
      </w:pPr>
      <w:r w:rsidRPr="00E34E46">
        <w:t>Le fournisseur inclut l’accessibilité dans ses procédures de qualité.</w:t>
      </w:r>
    </w:p>
    <w:p w14:paraId="2D52A724" w14:textId="77777777" w:rsidR="00F0027C" w:rsidRPr="00E34E46" w:rsidRDefault="00F0027C" w:rsidP="00906064">
      <w:pPr>
        <w:pStyle w:val="ListParagraph"/>
        <w:numPr>
          <w:ilvl w:val="0"/>
          <w:numId w:val="63"/>
        </w:numPr>
      </w:pPr>
      <w:r w:rsidRPr="00E34E46">
        <w:t>Le fournisseur inclut des utilisateurs en situation de handicap dans ses tests.</w:t>
      </w:r>
    </w:p>
    <w:p w14:paraId="56E2E772" w14:textId="77777777" w:rsidR="00F0027C" w:rsidRPr="00E34E46" w:rsidRDefault="00F0027C" w:rsidP="00906064">
      <w:pPr>
        <w:pStyle w:val="ListParagraph"/>
        <w:numPr>
          <w:ilvl w:val="0"/>
          <w:numId w:val="63"/>
        </w:numPr>
      </w:pPr>
      <w:r w:rsidRPr="00E34E46">
        <w:t>L’accessibilité a été validée par un examen d’accessibilité.</w:t>
      </w:r>
    </w:p>
    <w:p w14:paraId="59D5D24F" w14:textId="77777777" w:rsidR="00F0027C" w:rsidRPr="00E34E46" w:rsidRDefault="00F0027C" w:rsidP="00906064">
      <w:pPr>
        <w:pStyle w:val="ListParagraph"/>
        <w:numPr>
          <w:ilvl w:val="0"/>
          <w:numId w:val="63"/>
        </w:numPr>
      </w:pPr>
      <w:r w:rsidRPr="00E34E46">
        <w:t>Indicateurs de risques modérés</w:t>
      </w:r>
    </w:p>
    <w:p w14:paraId="7AF20EFE" w14:textId="77777777" w:rsidR="00F0027C" w:rsidRPr="00E34E46" w:rsidRDefault="00F0027C" w:rsidP="00906064">
      <w:pPr>
        <w:pStyle w:val="ListParagraph"/>
        <w:numPr>
          <w:ilvl w:val="0"/>
          <w:numId w:val="63"/>
        </w:numPr>
      </w:pPr>
      <w:r w:rsidRPr="00E34E46">
        <w:t>Le produit ne respecte que quelques critères des WCAG 2.1. AA.</w:t>
      </w:r>
    </w:p>
    <w:p w14:paraId="33360E80" w14:textId="77777777" w:rsidR="00F0027C" w:rsidRPr="00E34E46" w:rsidRDefault="00F0027C" w:rsidP="00906064">
      <w:pPr>
        <w:pStyle w:val="ListParagraph"/>
        <w:numPr>
          <w:ilvl w:val="0"/>
          <w:numId w:val="63"/>
        </w:numPr>
      </w:pPr>
      <w:r w:rsidRPr="00E34E46">
        <w:t>De nombreuses pages sont exemptes de défauts</w:t>
      </w:r>
    </w:p>
    <w:p w14:paraId="3BD71174" w14:textId="77777777" w:rsidR="00F0027C" w:rsidRPr="00E34E46" w:rsidRDefault="00F0027C" w:rsidP="00906064">
      <w:pPr>
        <w:pStyle w:val="ListParagraph"/>
        <w:numPr>
          <w:ilvl w:val="0"/>
          <w:numId w:val="63"/>
        </w:numPr>
      </w:pPr>
      <w:r w:rsidRPr="00E34E46">
        <w:t>Les défauts peuvent être facilement corrigés.</w:t>
      </w:r>
    </w:p>
    <w:p w14:paraId="44C55785" w14:textId="77777777" w:rsidR="00F0027C" w:rsidRPr="00E34E46" w:rsidRDefault="00F0027C" w:rsidP="00906064">
      <w:pPr>
        <w:pStyle w:val="ListParagraph"/>
        <w:numPr>
          <w:ilvl w:val="0"/>
          <w:numId w:val="63"/>
        </w:numPr>
      </w:pPr>
      <w:r w:rsidRPr="00E34E46">
        <w:t>Le produit a été créé en tenant compte de l’accessibilité.</w:t>
      </w:r>
    </w:p>
    <w:p w14:paraId="61BB74FD" w14:textId="77777777" w:rsidR="00F0027C" w:rsidRPr="00E34E46" w:rsidRDefault="00F0027C" w:rsidP="00906064">
      <w:pPr>
        <w:pStyle w:val="ListParagraph"/>
        <w:numPr>
          <w:ilvl w:val="0"/>
          <w:numId w:val="63"/>
        </w:numPr>
      </w:pPr>
      <w:r w:rsidRPr="00E34E46">
        <w:lastRenderedPageBreak/>
        <w:t>Le fournisseur a reconnu que son produit présente des défauts.</w:t>
      </w:r>
    </w:p>
    <w:p w14:paraId="6F83E86C" w14:textId="77777777" w:rsidR="00F0027C" w:rsidRPr="00E34E46" w:rsidRDefault="00F0027C" w:rsidP="00906064">
      <w:pPr>
        <w:pStyle w:val="ListParagraph"/>
        <w:numPr>
          <w:ilvl w:val="0"/>
          <w:numId w:val="63"/>
        </w:numPr>
      </w:pPr>
      <w:r w:rsidRPr="00E34E46">
        <w:t>Le fournisseur a établi un calendrier pour corriger les défauts.</w:t>
      </w:r>
    </w:p>
    <w:p w14:paraId="32786142" w14:textId="77777777" w:rsidR="00F0027C" w:rsidRPr="00E34E46" w:rsidRDefault="00F0027C" w:rsidP="00AD1BC6">
      <w:pPr>
        <w:rPr>
          <w:b/>
          <w:bCs/>
        </w:rPr>
      </w:pPr>
      <w:r w:rsidRPr="00E34E46">
        <w:rPr>
          <w:b/>
          <w:bCs/>
        </w:rPr>
        <w:t>Indicateurs d’une faible évaluation</w:t>
      </w:r>
    </w:p>
    <w:p w14:paraId="4F37FBB7" w14:textId="77777777" w:rsidR="00F0027C" w:rsidRPr="00E34E46" w:rsidRDefault="00F0027C" w:rsidP="00906064">
      <w:pPr>
        <w:pStyle w:val="ListParagraph"/>
        <w:numPr>
          <w:ilvl w:val="0"/>
          <w:numId w:val="64"/>
        </w:numPr>
      </w:pPr>
      <w:r w:rsidRPr="00E34E46">
        <w:t>Le produit échoue à au moins 6 points de contrôle de WCAG 2.1 AA.</w:t>
      </w:r>
    </w:p>
    <w:p w14:paraId="31C0740C" w14:textId="77777777" w:rsidR="00F0027C" w:rsidRPr="00E34E46" w:rsidRDefault="00F0027C" w:rsidP="00906064">
      <w:pPr>
        <w:pStyle w:val="ListParagraph"/>
        <w:numPr>
          <w:ilvl w:val="0"/>
          <w:numId w:val="64"/>
        </w:numPr>
      </w:pPr>
      <w:r w:rsidRPr="00E34E46">
        <w:t>La plupart des pages contiennent des défauts.</w:t>
      </w:r>
    </w:p>
    <w:p w14:paraId="3F30BEA9" w14:textId="77777777" w:rsidR="00F0027C" w:rsidRPr="00E34E46" w:rsidRDefault="00F0027C" w:rsidP="00906064">
      <w:pPr>
        <w:pStyle w:val="ListParagraph"/>
        <w:numPr>
          <w:ilvl w:val="0"/>
          <w:numId w:val="64"/>
        </w:numPr>
      </w:pPr>
      <w:r w:rsidRPr="00E34E46">
        <w:t>Les défauts sont difficiles à corriger.</w:t>
      </w:r>
    </w:p>
    <w:p w14:paraId="4C0F2C1D" w14:textId="77777777" w:rsidR="00F0027C" w:rsidRPr="00E34E46" w:rsidRDefault="00F0027C" w:rsidP="00906064">
      <w:pPr>
        <w:pStyle w:val="ListParagraph"/>
        <w:numPr>
          <w:ilvl w:val="0"/>
          <w:numId w:val="64"/>
        </w:numPr>
      </w:pPr>
      <w:r w:rsidRPr="00E34E46">
        <w:t>Les développeurs ne semblent pas avoir pris en compte l’accessibilité.</w:t>
      </w:r>
    </w:p>
    <w:p w14:paraId="7D1C42C0" w14:textId="77777777" w:rsidR="00F0027C" w:rsidRPr="00E34E46" w:rsidRDefault="00F0027C" w:rsidP="00906064">
      <w:pPr>
        <w:pStyle w:val="ListParagraph"/>
        <w:numPr>
          <w:ilvl w:val="0"/>
          <w:numId w:val="64"/>
        </w:numPr>
      </w:pPr>
      <w:r w:rsidRPr="00E34E46">
        <w:t>Le fournisseur n’avait pas reconnu les défauts de son produit.</w:t>
      </w:r>
    </w:p>
    <w:p w14:paraId="4039C75F" w14:textId="77777777" w:rsidR="00F0027C" w:rsidRPr="00E34E46" w:rsidRDefault="00F0027C" w:rsidP="00906064">
      <w:pPr>
        <w:pStyle w:val="ListParagraph"/>
        <w:numPr>
          <w:ilvl w:val="0"/>
          <w:numId w:val="64"/>
        </w:numPr>
      </w:pPr>
      <w:r w:rsidRPr="00E34E46">
        <w:t>Le fournisseur n’a pas établi de calendrier pour corriger les défauts.</w:t>
      </w:r>
    </w:p>
    <w:p w14:paraId="03A258AA" w14:textId="77777777" w:rsidR="00F0027C" w:rsidRPr="00E34E46" w:rsidRDefault="00F0027C" w:rsidP="000465DA">
      <w:r w:rsidRPr="00E34E46">
        <w:rPr>
          <w:b/>
        </w:rPr>
        <w:t>Rapport et recommandation :</w:t>
      </w:r>
      <w:r w:rsidRPr="00E34E46">
        <w:t xml:space="preserve"> Après l’évaluation des produits, le comité de révision des DP reçoit un rapport résumant chaque produit et contenant des évaluations et des recommandations. Le groupe d’évaluation comparera l’accessibilité à d’autres critères, comme le coût.</w:t>
      </w:r>
    </w:p>
    <w:p w14:paraId="06301A5F" w14:textId="77777777" w:rsidR="00F0027C" w:rsidRPr="00E34E46" w:rsidRDefault="00F0027C" w:rsidP="000465DA">
      <w:r w:rsidRPr="00E34E46">
        <w:rPr>
          <w:b/>
        </w:rPr>
        <w:t>Négociation du contrat :</w:t>
      </w:r>
      <w:r w:rsidRPr="00E34E46">
        <w:t xml:space="preserve"> Un contrat sera négocié avec le fournisseur retenu pour le produit choisi. C’est le moment opportun pour fournir une copie de l’audit d’accessibilité au fournisseur. Un calendrier pour résoudre les défauts devrait être demandé.</w:t>
      </w:r>
    </w:p>
    <w:p w14:paraId="7E707338" w14:textId="77777777" w:rsidR="00F0027C" w:rsidRPr="00E34E46" w:rsidRDefault="00F0027C" w:rsidP="000465DA">
      <w:r w:rsidRPr="00E34E46">
        <w:rPr>
          <w:b/>
        </w:rPr>
        <w:lastRenderedPageBreak/>
        <w:t>Contrat élaboré :</w:t>
      </w:r>
      <w:r w:rsidRPr="00E34E46">
        <w:t xml:space="preserve"> Les exigences propres à chaque achat devraient être insérées, puis modifiées au besoin en collaboration avec le responsable de l’approvisionnement, le fournisseur et les experts en accessibilité de l’organisation de l’acheteur. Le contrat devrait être rédigé en langage clair et simple. Toutes les informations relatives à la confidentialité et au consentement, ainsi que les conditions de l’accord entre l’utilisateur et le service (potentiellement pour un public général), doivent être accessibles et rédigées dans un langage clair et simple. Le contrat devrait comprendre des détails sur les processus et les délais pour résoudre les problèmes d’accessibilité et d’utilisabilité, ou pour mettre en œuvre d’autres solutions de contournement, qui doivent être documentées clairement.</w:t>
      </w:r>
    </w:p>
    <w:p w14:paraId="346F685F" w14:textId="3720AD98" w:rsidR="00F0027C" w:rsidRPr="00E34E46" w:rsidRDefault="00F0027C" w:rsidP="000465DA">
      <w:r w:rsidRPr="00E34E46">
        <w:rPr>
          <w:b/>
        </w:rPr>
        <w:t>Attribution du contrat :</w:t>
      </w:r>
      <w:r w:rsidRPr="00E34E46">
        <w:t xml:space="preserve"> Il s’agit de l’aspect le plus important du processus d’approvisionnement global. À cette étape, les intervenants de l’acheteur se réunissent pour examiner tous les aspects de la proposition du fournisseur,</w:t>
      </w:r>
      <w:r w:rsidR="00B65057" w:rsidRPr="00E34E46">
        <w:t xml:space="preserve"> </w:t>
      </w:r>
      <w:r w:rsidRPr="00E34E46">
        <w:t xml:space="preserve">la solution, les résultats des tests et les prix, entre autres, afin de prendre une dernière décision concernant l’attribution du contrat au fournisseur sélectionné. Cette étape comprend également les négociations </w:t>
      </w:r>
      <w:r w:rsidRPr="00E34E46">
        <w:lastRenderedPageBreak/>
        <w:t>post-attribution du contrat et l’exécution du document contractuel par les deux parties.</w:t>
      </w:r>
    </w:p>
    <w:p w14:paraId="75745EE6" w14:textId="43718F7F" w:rsidR="002F3A1F" w:rsidRPr="00E34E46" w:rsidRDefault="002F3A1F" w:rsidP="00B56537">
      <w:pPr>
        <w:pStyle w:val="Heading3"/>
      </w:pPr>
      <w:r w:rsidRPr="00E34E46">
        <w:lastRenderedPageBreak/>
        <w:t>Phase post-attribution</w:t>
      </w:r>
      <w:bookmarkEnd w:id="217"/>
    </w:p>
    <w:p w14:paraId="561BA5FF" w14:textId="4891A1C4" w:rsidR="005C5139" w:rsidRPr="00E34E46" w:rsidRDefault="005C5139" w:rsidP="00084836">
      <w:pPr>
        <w:pStyle w:val="Caption"/>
        <w:rPr>
          <w:b/>
          <w:bCs/>
        </w:rPr>
      </w:pPr>
      <w:bookmarkStart w:id="218" w:name="_Toc224833497"/>
      <w:r w:rsidRPr="00E34E46">
        <w:rPr>
          <w:b/>
          <w:bCs/>
        </w:rPr>
        <w:t xml:space="preserve">Figure </w:t>
      </w:r>
      <w:r w:rsidRPr="00E34E46">
        <w:rPr>
          <w:b/>
          <w:bCs/>
        </w:rPr>
        <w:fldChar w:fldCharType="begin"/>
      </w:r>
      <w:r w:rsidRPr="00E34E46">
        <w:rPr>
          <w:b/>
          <w:bCs/>
        </w:rPr>
        <w:instrText xml:space="preserve"> SEQ Figure \* ARABIC </w:instrText>
      </w:r>
      <w:r w:rsidRPr="00E34E46">
        <w:rPr>
          <w:b/>
          <w:bCs/>
        </w:rPr>
        <w:fldChar w:fldCharType="separate"/>
      </w:r>
      <w:r w:rsidRPr="00E34E46">
        <w:rPr>
          <w:b/>
          <w:bCs/>
          <w:noProof/>
        </w:rPr>
        <w:t>4</w:t>
      </w:r>
      <w:r w:rsidRPr="00E34E46">
        <w:rPr>
          <w:b/>
          <w:bCs/>
        </w:rPr>
        <w:fldChar w:fldCharType="end"/>
      </w:r>
      <w:r w:rsidRPr="00E34E46">
        <w:rPr>
          <w:b/>
          <w:bCs/>
        </w:rPr>
        <w:t xml:space="preserve"> </w:t>
      </w:r>
      <w:r w:rsidR="00A2046A" w:rsidRPr="00E34E46">
        <w:rPr>
          <w:b/>
          <w:bCs/>
        </w:rPr>
        <w:br/>
      </w:r>
      <w:r w:rsidRPr="00E34E46">
        <w:t>Organigramme de la phase post-attribution</w:t>
      </w:r>
      <w:bookmarkEnd w:id="218"/>
    </w:p>
    <w:p w14:paraId="4B854542" w14:textId="29F21D24" w:rsidR="002F3A1F" w:rsidRPr="00E34E46" w:rsidRDefault="005C5139" w:rsidP="005C5139">
      <w:pPr>
        <w:ind w:firstLine="0"/>
      </w:pPr>
      <w:r w:rsidRPr="00E34E46">
        <w:rPr>
          <w:noProof/>
        </w:rPr>
        <w:lastRenderedPageBreak/>
        <w:drawing>
          <wp:inline distT="0" distB="0" distL="0" distR="0" wp14:anchorId="62AB5B49" wp14:editId="499CD8F1">
            <wp:extent cx="3596640" cy="5558366"/>
            <wp:effectExtent l="0" t="0" r="3810" b="4445"/>
            <wp:docPr id="1582961433" name="Picture 9" descr="Schéma vertical de la phase de post‑attribution, qui commence par la signature du contrat et se termine par le suivi du rend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61433" name="Picture 9" descr="Schéma vertical de la phase de post‑attribution, qui commence par la signature du contrat et se termine par le suivi du rendement."/>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615551" cy="5587591"/>
                    </a:xfrm>
                    <a:prstGeom prst="rect">
                      <a:avLst/>
                    </a:prstGeom>
                  </pic:spPr>
                </pic:pic>
              </a:graphicData>
            </a:graphic>
          </wp:inline>
        </w:drawing>
      </w:r>
    </w:p>
    <w:p w14:paraId="3351C97C" w14:textId="77777777" w:rsidR="009914C3" w:rsidRPr="00E34E46" w:rsidRDefault="002F3A1F" w:rsidP="009914C3">
      <w:r w:rsidRPr="00E34E46">
        <w:t>Cette phase comprend toutes les activités qui ont lieu avant la signature du contrat entre l’acheteur et le fournisseur. Les principales étapes sont détaillées ci-dessous :</w:t>
      </w:r>
      <w:bookmarkStart w:id="219" w:name="_Toc168722602"/>
    </w:p>
    <w:p w14:paraId="6774338F" w14:textId="77777777" w:rsidR="009914C3" w:rsidRPr="00E34E46" w:rsidRDefault="002F0B5E" w:rsidP="009914C3">
      <w:r w:rsidRPr="00E34E46">
        <w:rPr>
          <w:rFonts w:ascii="Arial" w:hAnsi="Arial"/>
          <w:b/>
        </w:rPr>
        <w:lastRenderedPageBreak/>
        <w:t>Acquisition du service :</w:t>
      </w:r>
      <w:r w:rsidRPr="00E34E46">
        <w:rPr>
          <w:rFonts w:ascii="Arial" w:hAnsi="Arial"/>
        </w:rPr>
        <w:t xml:space="preserve"> Dans la phase post-attribution du contrat, l’accent est mis sur l’acquisition et l’intégration d’un bien, d’un service ou d’une installation dans l’organisation de l’acheteur ou en tant que partie de l’organisation de l’acheteur. Les délais sont clairement communiqués et négociés entre le fournisseur et l’organisation. Après la signature du contrat, un prototype est généralement développé. Il est essentiel qu’un audit d’accessibilité soit mené en même temps que les tests d’acceptation par les utilisateurs afin que les personnalisations soient accessibles, ce qui souligne notre engagement envers l’inclusivité et l’accessibilité.</w:t>
      </w:r>
    </w:p>
    <w:p w14:paraId="5536183B" w14:textId="77777777" w:rsidR="009914C3" w:rsidRPr="00E34E46" w:rsidRDefault="002F0B5E" w:rsidP="009914C3">
      <w:r w:rsidRPr="00E34E46">
        <w:rPr>
          <w:rFonts w:ascii="Arial" w:hAnsi="Arial"/>
        </w:rPr>
        <w:t>En présence de problèmes d’accessibilité connus dans le service, une procédure visant à fournir un accès au service par un autre moyen devrait également être mise en place.</w:t>
      </w:r>
    </w:p>
    <w:p w14:paraId="66859431" w14:textId="77777777" w:rsidR="009914C3" w:rsidRPr="00E34E46" w:rsidRDefault="002F0B5E" w:rsidP="009914C3">
      <w:r w:rsidRPr="00E34E46">
        <w:rPr>
          <w:rFonts w:ascii="Arial" w:hAnsi="Arial"/>
          <w:b/>
        </w:rPr>
        <w:t>Mise en œuvre du service :</w:t>
      </w:r>
      <w:r w:rsidRPr="00E34E46">
        <w:rPr>
          <w:rFonts w:ascii="Arial" w:hAnsi="Arial"/>
        </w:rPr>
        <w:t xml:space="preserve"> Dans cette phase, tandis que le fournisseur fournit le produit ou commence le processus de mise en œuvre d’une solution, des personnes désignées des deux parties participent à la gestion du contrat, faisant en sorte que les services soient livrés à temps et que les différentes étapes soient respectées.</w:t>
      </w:r>
    </w:p>
    <w:p w14:paraId="74CD3890" w14:textId="77777777" w:rsidR="009914C3" w:rsidRPr="00E34E46" w:rsidRDefault="002F0B5E" w:rsidP="009914C3">
      <w:r w:rsidRPr="00E34E46">
        <w:rPr>
          <w:rFonts w:ascii="Arial" w:hAnsi="Arial"/>
          <w:b/>
        </w:rPr>
        <w:t>Correction préalable au lancement avec le fournisseur :</w:t>
      </w:r>
      <w:r w:rsidRPr="00E34E46">
        <w:rPr>
          <w:rFonts w:ascii="Arial" w:hAnsi="Arial"/>
        </w:rPr>
        <w:t xml:space="preserve"> L’accord contractuel devrait définir une stratégie de correction, et des solutions de contournement devraient être élaborées puis testées. Une équipe d’ACHETEURS sélectionnée devrait avoir </w:t>
      </w:r>
      <w:r w:rsidRPr="00E34E46">
        <w:rPr>
          <w:rFonts w:ascii="Arial" w:hAnsi="Arial"/>
        </w:rPr>
        <w:lastRenderedPageBreak/>
        <w:t xml:space="preserve">accès au système et aider le fournisseur dans la mise en place de solutions de contournement et dans l’amélioration de l’accessibilité pendant toute la durée du contrat. Le fournisseur peut rencontrer l’équipe interne responsable de l’accessibilité pour résoudre les problèmes, faciliter la correction et reproduire les problèmes d’accessibilité repérés pendant le processus de tests d’acceptation. </w:t>
      </w:r>
    </w:p>
    <w:p w14:paraId="3F2AC90F" w14:textId="77777777" w:rsidR="009914C3" w:rsidRPr="00E34E46" w:rsidRDefault="002F0B5E" w:rsidP="009914C3">
      <w:r w:rsidRPr="00E34E46">
        <w:rPr>
          <w:rFonts w:ascii="Arial" w:hAnsi="Arial"/>
          <w:b/>
          <w:bCs/>
        </w:rPr>
        <w:t>Gestion des relations</w:t>
      </w:r>
      <w:r w:rsidRPr="00E34E46">
        <w:rPr>
          <w:rFonts w:ascii="Arial" w:hAnsi="Arial"/>
        </w:rPr>
        <w:t xml:space="preserve"> : Il s’agit de la dernière étape du processus global d’approvisionnement. À ce stade, la relation entre </w:t>
      </w:r>
      <w:proofErr w:type="gramStart"/>
      <w:r w:rsidRPr="00E34E46">
        <w:rPr>
          <w:rFonts w:ascii="Arial" w:hAnsi="Arial"/>
        </w:rPr>
        <w:t>la côté</w:t>
      </w:r>
      <w:proofErr w:type="gramEnd"/>
      <w:r w:rsidRPr="00E34E46">
        <w:rPr>
          <w:rFonts w:ascii="Arial" w:hAnsi="Arial"/>
        </w:rPr>
        <w:t xml:space="preserve"> de la demande et le fournisseur sélectionné pour l’initiative d’approvisionnement entre dans un état stable de gouvernance et de gestion de la relation.</w:t>
      </w:r>
    </w:p>
    <w:p w14:paraId="1A8E7DDA" w14:textId="453306BC" w:rsidR="009914C3" w:rsidRPr="00E34E46" w:rsidRDefault="002F0B5E" w:rsidP="009914C3">
      <w:r w:rsidRPr="00E34E46">
        <w:rPr>
          <w:rFonts w:ascii="Arial" w:hAnsi="Arial"/>
          <w:b/>
        </w:rPr>
        <w:t>Gestion du changement :</w:t>
      </w:r>
      <w:r w:rsidRPr="00E34E46">
        <w:rPr>
          <w:rFonts w:ascii="Arial" w:hAnsi="Arial"/>
        </w:rPr>
        <w:t xml:space="preserve"> La gestion du changement et l’intégration du système devraient comporter des supports de formation et des ateliers destinés aux employés ainsi qu’aux intervenants ou aux utilisateurs finaux concernés. Des manuels d’utilisation et autres documents accessibles devraient être produits ou transmis par le fournisseur. En complément à l’intégration de l’organisation, des manuels propres au rôle </w:t>
      </w:r>
      <w:r w:rsidRPr="00E34E46">
        <w:rPr>
          <w:rFonts w:ascii="Arial" w:hAnsi="Arial"/>
          <w:i/>
          <w:iCs/>
        </w:rPr>
        <w:t>d’</w:t>
      </w:r>
      <w:r w:rsidR="00FB7B8C" w:rsidRPr="00E34E46">
        <w:rPr>
          <w:rFonts w:ascii="Arial" w:hAnsi="Arial"/>
          <w:i/>
          <w:iCs/>
        </w:rPr>
        <w:t>acheteur</w:t>
      </w:r>
      <w:r w:rsidR="00FB7B8C" w:rsidRPr="00E34E46">
        <w:rPr>
          <w:rFonts w:ascii="Arial" w:hAnsi="Arial"/>
        </w:rPr>
        <w:t xml:space="preserve"> </w:t>
      </w:r>
      <w:r w:rsidRPr="00E34E46">
        <w:rPr>
          <w:rFonts w:ascii="Arial" w:hAnsi="Arial"/>
        </w:rPr>
        <w:t>devraient être préparés pour les utilisateurs finaux avant qu’un service, un bien ou une installation soit lancé ou mis à la disposition du public. Le déploiement du système à l’échelle de l’organisation devrait avoir lieu lorsque le seuil minimal d’accessibilité a été atteint, y compris pour la documentation accessible et le matériel de formation fourni provenant des phases de test.</w:t>
      </w:r>
    </w:p>
    <w:p w14:paraId="083EA7C3" w14:textId="77777777" w:rsidR="009914C3" w:rsidRPr="00E34E46" w:rsidRDefault="002F0B5E" w:rsidP="009914C3">
      <w:r w:rsidRPr="00E34E46">
        <w:rPr>
          <w:rFonts w:ascii="Arial" w:hAnsi="Arial"/>
          <w:b/>
        </w:rPr>
        <w:lastRenderedPageBreak/>
        <w:t>Gestion de relations collaboratives en continu :</w:t>
      </w:r>
      <w:r w:rsidRPr="00E34E46">
        <w:rPr>
          <w:rFonts w:ascii="Arial" w:hAnsi="Arial"/>
        </w:rPr>
        <w:t xml:space="preserve"> Des points de contact clairs et convaincants devraient être établis et entendus avec le fournisseur et l’acheteur. Aussi, des lignes directrices sur la communication accessible et la prestation de services devraient être établies, en ce qui a trait notamment aux réunions Zoom, aux plateformes TIC, aux ordres du jour de réunions, aux enregistrements, au partage de documents accessibles ou aux discussions. </w:t>
      </w:r>
    </w:p>
    <w:p w14:paraId="6AEA643C" w14:textId="43900C8F" w:rsidR="002F0B5E" w:rsidRPr="00E34E46" w:rsidRDefault="002F0B5E" w:rsidP="009914C3">
      <w:r w:rsidRPr="00E34E46">
        <w:rPr>
          <w:rFonts w:ascii="Arial" w:hAnsi="Arial"/>
          <w:b/>
        </w:rPr>
        <w:t>Suivi du rendement :</w:t>
      </w:r>
      <w:r w:rsidRPr="00E34E46">
        <w:rPr>
          <w:rFonts w:ascii="Arial" w:hAnsi="Arial"/>
        </w:rPr>
        <w:t xml:space="preserve"> Un cadre de suivi devrait utiliser une approche fondée sur des données probantes pour cibler des mesures significatives et appropriées pour chaque projet, y compris des résultats et des indicateurs quantitatifs et qualitatifs. Des résultats et des indicateurs de rendement clés devraient être liés aux échéanciers des projets d’approvisionnement, au respect des ententes contractuelles, à l’exécution de la stratégie de correction et aux solutions de contournement.</w:t>
      </w:r>
    </w:p>
    <w:p w14:paraId="7F06F0F2" w14:textId="77777777" w:rsidR="009425D8" w:rsidRPr="00E34E46" w:rsidRDefault="009425D8">
      <w:pPr>
        <w:spacing w:before="0" w:after="160" w:line="259" w:lineRule="auto"/>
        <w:ind w:firstLine="0"/>
        <w:textAlignment w:val="auto"/>
        <w:rPr>
          <w:rFonts w:cstheme="majorBidi"/>
          <w:b/>
          <w:bCs/>
          <w:sz w:val="36"/>
          <w:szCs w:val="36"/>
        </w:rPr>
      </w:pPr>
      <w:r w:rsidRPr="00E34E46">
        <w:br w:type="page"/>
      </w:r>
    </w:p>
    <w:p w14:paraId="079CB6BC" w14:textId="3B27C03E" w:rsidR="000E1781" w:rsidRPr="00E34E46" w:rsidRDefault="000E1781" w:rsidP="00B56537">
      <w:pPr>
        <w:pStyle w:val="Heading2"/>
      </w:pPr>
      <w:bookmarkStart w:id="220" w:name="_Toc224836486"/>
      <w:bookmarkStart w:id="221" w:name="_Toc224836714"/>
      <w:r w:rsidRPr="00E34E46">
        <w:lastRenderedPageBreak/>
        <w:t>Annexe C : Comment évaluer l’inclusion des personnes en situation de handicap chez les fournisseurs potentiels</w:t>
      </w:r>
      <w:bookmarkEnd w:id="220"/>
      <w:bookmarkEnd w:id="221"/>
    </w:p>
    <w:p w14:paraId="221B105B" w14:textId="372BE2A3" w:rsidR="000E1781" w:rsidRPr="00E34E46" w:rsidRDefault="000E1781" w:rsidP="00B56537">
      <w:r w:rsidRPr="00E34E46">
        <w:t>Veuillez vérifier si le fournisseur a répondu aux questions suivantes dans sa soumission. Chaque question se répond par « oui » ou « non ». Des points peuvent être attribués à chaque question, et le contexte du fournisseur ou de l’entreprise doit également être pris en compte, par exemple, pour une PME, une grande entreprise nationale ou en interne. Le responsable de l’approvisionnement documentera ces réponses et les introduira dans les documents d’évaluation technique. Ces questions permettent d’évaluer indirectement le niveau de maturité en matière d’accessibilité et d’inclusion des personnes en situation de handicap chez les fournisseurs.</w:t>
      </w:r>
    </w:p>
    <w:p w14:paraId="2447D155" w14:textId="77777777" w:rsidR="0078504C" w:rsidRPr="00E34E46" w:rsidRDefault="0078504C" w:rsidP="00B56537">
      <w:pPr>
        <w:pStyle w:val="Heading3"/>
      </w:pPr>
      <w:bookmarkStart w:id="222" w:name="_Toc210828591"/>
      <w:r w:rsidRPr="00E34E46">
        <w:lastRenderedPageBreak/>
        <w:t>Questions sur l’engagement du fournisseur à l’égard de l’accessibilité :</w:t>
      </w:r>
      <w:bookmarkEnd w:id="222"/>
    </w:p>
    <w:p w14:paraId="7236618C" w14:textId="77777777" w:rsidR="0078504C" w:rsidRPr="00E34E46" w:rsidRDefault="0078504C" w:rsidP="003B1646">
      <w:pPr>
        <w:ind w:left="720" w:hanging="720"/>
      </w:pPr>
      <w:r w:rsidRPr="00E34E46">
        <w:t>•</w:t>
      </w:r>
      <w:r w:rsidRPr="00E34E46">
        <w:tab/>
        <w:t>Le fournisseur a-t-il un chef de l’accessibilité (CA) ou l’équivalent?</w:t>
      </w:r>
    </w:p>
    <w:p w14:paraId="2B49367D" w14:textId="77777777" w:rsidR="0078504C" w:rsidRPr="00E34E46" w:rsidRDefault="0078504C" w:rsidP="003B1646">
      <w:pPr>
        <w:ind w:left="720" w:hanging="720"/>
      </w:pPr>
      <w:r w:rsidRPr="00E34E46">
        <w:t>•</w:t>
      </w:r>
      <w:r w:rsidRPr="00E34E46">
        <w:tab/>
        <w:t>Le fournisseur est-il en conformité documentée avec la loi pertinente (p. ex., la LAPHO en Ontario; la norme EN 301 549, la LCA, l’ADA aux États-Unis)?</w:t>
      </w:r>
    </w:p>
    <w:p w14:paraId="32BC325A" w14:textId="77777777" w:rsidR="0078504C" w:rsidRPr="00E34E46" w:rsidRDefault="0078504C" w:rsidP="003B1646">
      <w:pPr>
        <w:ind w:left="720" w:hanging="720"/>
      </w:pPr>
      <w:r w:rsidRPr="00E34E46">
        <w:t>•</w:t>
      </w:r>
      <w:r w:rsidRPr="00E34E46">
        <w:tab/>
        <w:t>Le fournisseur a-t-il un plan ou une stratégie en matière d’accessibilité?</w:t>
      </w:r>
      <w:r w:rsidRPr="00E34E46">
        <w:tab/>
        <w:t>Si oui, l’organisation rend-elle publics ses progrès et ses engagements?</w:t>
      </w:r>
    </w:p>
    <w:p w14:paraId="78E47178" w14:textId="77777777" w:rsidR="0078504C" w:rsidRPr="00E34E46" w:rsidRDefault="0078504C" w:rsidP="003B1646">
      <w:pPr>
        <w:ind w:left="720" w:hanging="720"/>
      </w:pPr>
      <w:r w:rsidRPr="00E34E46">
        <w:t>•</w:t>
      </w:r>
      <w:r w:rsidRPr="00E34E46">
        <w:tab/>
        <w:t>Le fournisseur connaît-il le pourcentage d’employés en situation de handicap dans son organisation et dispose-t-il de données désagrégées à cet égard?</w:t>
      </w:r>
    </w:p>
    <w:p w14:paraId="6EE2136F" w14:textId="77777777" w:rsidR="0078504C" w:rsidRPr="00E34E46" w:rsidRDefault="0078504C" w:rsidP="003B1646">
      <w:pPr>
        <w:ind w:left="720" w:hanging="720"/>
      </w:pPr>
      <w:r w:rsidRPr="00E34E46">
        <w:t>•</w:t>
      </w:r>
      <w:r w:rsidRPr="00E34E46">
        <w:tab/>
        <w:t>Le fournisseur dispose-t-il d’une déclaration d’engagement envers l’accessibilité à l’intention de leurs employés?</w:t>
      </w:r>
    </w:p>
    <w:p w14:paraId="7210797D" w14:textId="77777777" w:rsidR="0078504C" w:rsidRPr="00E34E46" w:rsidRDefault="0078504C" w:rsidP="003B1646">
      <w:pPr>
        <w:ind w:left="720" w:hanging="720"/>
      </w:pPr>
      <w:r w:rsidRPr="00E34E46">
        <w:lastRenderedPageBreak/>
        <w:t>•</w:t>
      </w:r>
      <w:r w:rsidRPr="00E34E46">
        <w:tab/>
        <w:t xml:space="preserve">Le fournisseur dispose-t-il d’un produit, d’un service ou </w:t>
      </w:r>
      <w:proofErr w:type="gramStart"/>
      <w:r w:rsidRPr="00E34E46">
        <w:t>d’une installation conçu</w:t>
      </w:r>
      <w:proofErr w:type="gramEnd"/>
      <w:r w:rsidRPr="00E34E46">
        <w:t xml:space="preserve"> en consultation avec des personnes en situation de handicap?</w:t>
      </w:r>
    </w:p>
    <w:p w14:paraId="7D11AD76" w14:textId="77777777" w:rsidR="0078504C" w:rsidRPr="00E34E46" w:rsidRDefault="0078504C" w:rsidP="003B1646">
      <w:pPr>
        <w:ind w:left="720" w:hanging="720"/>
      </w:pPr>
      <w:r w:rsidRPr="00E34E46">
        <w:t>•</w:t>
      </w:r>
      <w:r w:rsidRPr="00E34E46">
        <w:tab/>
        <w:t>Le fournisseur s’est-il engagé à améliorer l’accessibilité de ses produits et services?</w:t>
      </w:r>
    </w:p>
    <w:p w14:paraId="2A388E37" w14:textId="77777777" w:rsidR="0078504C" w:rsidRPr="00E34E46" w:rsidRDefault="0078504C" w:rsidP="003B1646">
      <w:pPr>
        <w:ind w:left="720" w:hanging="720"/>
      </w:pPr>
      <w:r w:rsidRPr="00E34E46">
        <w:t>•</w:t>
      </w:r>
      <w:r w:rsidRPr="00E34E46">
        <w:tab/>
        <w:t>Le fournisseur comprend-il les technologies d’assistance ou a-t-il une compréhension de base des domaines des technologies d’assistance ou une compréhension de base des personnes qui utilisent ces technologies d’assistance?</w:t>
      </w:r>
    </w:p>
    <w:p w14:paraId="58DE3BF3" w14:textId="6234DA25" w:rsidR="000E1781" w:rsidRPr="00E34E46" w:rsidRDefault="000E1781" w:rsidP="00B56537">
      <w:pPr>
        <w:pStyle w:val="Heading3"/>
      </w:pPr>
      <w:bookmarkStart w:id="223" w:name="_Toc210828592"/>
      <w:r w:rsidRPr="00E34E46">
        <w:t>Drapeaux rouges</w:t>
      </w:r>
      <w:bookmarkEnd w:id="223"/>
    </w:p>
    <w:p w14:paraId="3243B57C" w14:textId="39EF1202" w:rsidR="004B3C7A" w:rsidRPr="00E34E46" w:rsidRDefault="000E1781" w:rsidP="003B1646">
      <w:pPr>
        <w:ind w:left="720" w:hanging="720"/>
      </w:pPr>
      <w:r w:rsidRPr="00E34E46">
        <w:t>•</w:t>
      </w:r>
      <w:r w:rsidRPr="00E34E46">
        <w:tab/>
        <w:t xml:space="preserve">Le fournisseur utilise-t-il des couches d’accessibilité pour remédier à l’accessibilité? Dans l’affirmative, il faut découvrir les raisons de leur utilisation. </w:t>
      </w:r>
    </w:p>
    <w:p w14:paraId="60AEB6B6" w14:textId="4DEA5C22" w:rsidR="000E1781" w:rsidRPr="00E34E46" w:rsidRDefault="004B3C7A" w:rsidP="00B56537">
      <w:r w:rsidRPr="00E34E46">
        <w:rPr>
          <w:b/>
        </w:rPr>
        <w:t>Justification :</w:t>
      </w:r>
      <w:r w:rsidRPr="00E34E46">
        <w:t xml:space="preserve"> La preuve de l’utilisation de couches d’accessibilité exclura un fournisseur potentiel de la procédure d’appel d’offres ou de la phase suivante. </w:t>
      </w:r>
    </w:p>
    <w:p w14:paraId="3CE4EFC2" w14:textId="44C887A9" w:rsidR="004B3C7A" w:rsidRPr="00E34E46" w:rsidRDefault="000E1781" w:rsidP="003B1646">
      <w:pPr>
        <w:ind w:left="720" w:hanging="720"/>
      </w:pPr>
      <w:r w:rsidRPr="00E34E46">
        <w:lastRenderedPageBreak/>
        <w:t>•</w:t>
      </w:r>
      <w:r w:rsidRPr="00E34E46">
        <w:tab/>
        <w:t>Le site Web public du fournisseur n’est pas accessible et ne présente aucune indication sur les fonctionnalités d’accessibilité, et les images sont dépourvues de texte de remplacement ou de descriptions.</w:t>
      </w:r>
    </w:p>
    <w:p w14:paraId="29A4515D" w14:textId="7593DE6A" w:rsidR="000E1781" w:rsidRPr="00E34E46" w:rsidRDefault="004B3C7A" w:rsidP="00B56537">
      <w:r w:rsidRPr="00E34E46">
        <w:rPr>
          <w:b/>
        </w:rPr>
        <w:t>Justification :</w:t>
      </w:r>
      <w:r w:rsidRPr="00E34E46">
        <w:t xml:space="preserve"> Cela indique que l’accessibilité et les personnes en situation de handicap ne sont pas prises en compte dans les priorités de l’organisation et qu’elles ne sont peut-être pas considérées comme un public cible des produits ou des services.</w:t>
      </w:r>
    </w:p>
    <w:p w14:paraId="1FD2302F" w14:textId="2839B8BD" w:rsidR="000E1781" w:rsidRPr="00E34E46" w:rsidRDefault="000E1781" w:rsidP="003B1646">
      <w:pPr>
        <w:ind w:left="720" w:hanging="720"/>
      </w:pPr>
      <w:r w:rsidRPr="00E34E46">
        <w:t>•</w:t>
      </w:r>
      <w:r w:rsidRPr="00E34E46">
        <w:tab/>
        <w:t>Les personnes en situation de handicap ne figurent pas dans les priorités ou les investissements de l’entreprise en matière de responsabilité sociétale, ni dans les rapports ESG, ni dans les politiques et les pratiques de diversité, d’équité et d’inclusion.</w:t>
      </w:r>
    </w:p>
    <w:p w14:paraId="61B5633B" w14:textId="40CF8E53" w:rsidR="00C06450" w:rsidRPr="00E34E46" w:rsidRDefault="00C06450" w:rsidP="00B56537">
      <w:r w:rsidRPr="00E34E46">
        <w:rPr>
          <w:b/>
        </w:rPr>
        <w:t>Justification :</w:t>
      </w:r>
      <w:r w:rsidRPr="00E34E46">
        <w:rPr>
          <w:bCs/>
        </w:rPr>
        <w:t xml:space="preserve"> </w:t>
      </w:r>
      <w:r w:rsidRPr="00E34E46">
        <w:t>Il se peut que le fournisseur n’ait pas pris en compte le besoin d’accessibilité ou qu’il n’ait pas interagi avec les personnes ayant vécu une telle expérience.</w:t>
      </w:r>
    </w:p>
    <w:p w14:paraId="184ACCC4" w14:textId="77777777" w:rsidR="00E50780" w:rsidRPr="00E34E46" w:rsidRDefault="00E50780" w:rsidP="00B56537">
      <w:pPr>
        <w:rPr>
          <w:rFonts w:cstheme="majorBidi"/>
          <w:color w:val="0F4761" w:themeColor="accent1" w:themeShade="BF"/>
          <w:sz w:val="32"/>
          <w:szCs w:val="32"/>
        </w:rPr>
      </w:pPr>
      <w:r w:rsidRPr="00E34E46">
        <w:br w:type="page"/>
      </w:r>
    </w:p>
    <w:p w14:paraId="3E50379E" w14:textId="46B05C5F" w:rsidR="00975153" w:rsidRPr="00E34E46" w:rsidRDefault="00975153" w:rsidP="00B56537">
      <w:pPr>
        <w:pStyle w:val="Heading2"/>
      </w:pPr>
      <w:bookmarkStart w:id="224" w:name="_Toc224836487"/>
      <w:bookmarkStart w:id="225" w:name="_Toc224836715"/>
      <w:r w:rsidRPr="00E34E46">
        <w:lastRenderedPageBreak/>
        <w:t>Annexe D : Exemples de mesures pour l’approvisionnement accessible</w:t>
      </w:r>
      <w:bookmarkEnd w:id="219"/>
      <w:bookmarkEnd w:id="224"/>
      <w:bookmarkEnd w:id="225"/>
    </w:p>
    <w:p w14:paraId="2672761A" w14:textId="77777777" w:rsidR="00975153" w:rsidRPr="00E34E46" w:rsidRDefault="00975153" w:rsidP="00B56537">
      <w:pPr>
        <w:pStyle w:val="Heading3"/>
        <w:rPr>
          <w:rFonts w:eastAsia="Times New Roman"/>
          <w:bCs/>
        </w:rPr>
      </w:pPr>
      <w:bookmarkStart w:id="226" w:name="_Toc210828594"/>
      <w:r w:rsidRPr="00E34E46">
        <w:t>Quels sont les indicateurs de l’approvisionnement?</w:t>
      </w:r>
      <w:bookmarkEnd w:id="226"/>
    </w:p>
    <w:p w14:paraId="102984C9" w14:textId="4F021E35" w:rsidR="00975153" w:rsidRPr="00E34E46" w:rsidRDefault="00975153" w:rsidP="00B56537">
      <w:r w:rsidRPr="00E34E46">
        <w:t>Un </w:t>
      </w:r>
      <w:r w:rsidRPr="00E34E46">
        <w:rPr>
          <w:b/>
          <w:bCs/>
        </w:rPr>
        <w:t>IRC ou un indicateur de l’approvisionnement</w:t>
      </w:r>
      <w:r w:rsidRPr="00E34E46">
        <w:t> est une valeur mesurable qui suit tous les aspects pertinents de l’acquisition ou de l’achat de biens et de services.</w:t>
      </w:r>
    </w:p>
    <w:p w14:paraId="23D7D57C" w14:textId="77777777" w:rsidR="00975153" w:rsidRPr="00E34E46" w:rsidRDefault="00975153" w:rsidP="00B56537">
      <w:pPr>
        <w:pStyle w:val="Heading3"/>
      </w:pPr>
      <w:bookmarkStart w:id="227" w:name="_Toc210828595"/>
      <w:r w:rsidRPr="00E34E46">
        <w:t>Pourquoi est-il important de cibler des matrices ou des IRC pour le processus d’approvisionnement?</w:t>
      </w:r>
      <w:bookmarkEnd w:id="227"/>
    </w:p>
    <w:p w14:paraId="2A25ADF2" w14:textId="5C0941AC" w:rsidR="00975153" w:rsidRPr="00E34E46" w:rsidRDefault="00975153" w:rsidP="00B56537">
      <w:r w:rsidRPr="00E34E46">
        <w:t>Les matrices d’approvisionnement permettent au service d’approvisionnement de contrôler et d’optimiser la quantité, la qualité, les coûts, le moment et le choix du fournisseur du processus d’achat. Elles contribuent également à organiser et à évaluer différents aspects du processus d’approvisionnement.</w:t>
      </w:r>
    </w:p>
    <w:p w14:paraId="028EE3BA" w14:textId="6A29572C" w:rsidR="00975153" w:rsidRPr="00E34E46" w:rsidRDefault="00975153" w:rsidP="00B56537">
      <w:r w:rsidRPr="00E34E46">
        <w:lastRenderedPageBreak/>
        <w:t>Si une organisation souhaite mettre en place un approvisionnement accessible, c’est en désignant ces matrices que le processus pourrait devenir accessible et inclusif.</w:t>
      </w:r>
    </w:p>
    <w:p w14:paraId="3EC2FCA2" w14:textId="77777777" w:rsidR="00975153" w:rsidRPr="00E34E46" w:rsidRDefault="00975153" w:rsidP="00B56537">
      <w:pPr>
        <w:pStyle w:val="Heading3"/>
      </w:pPr>
      <w:bookmarkStart w:id="228" w:name="_Toc210828596"/>
      <w:r w:rsidRPr="00E34E46">
        <w:t>Quelles sont les matrices potentielles pour un approvisionnement accessible?</w:t>
      </w:r>
      <w:bookmarkEnd w:id="228"/>
    </w:p>
    <w:p w14:paraId="5962B72F" w14:textId="77777777" w:rsidR="00975153" w:rsidRPr="00E34E46" w:rsidRDefault="00975153" w:rsidP="00B56537">
      <w:r w:rsidRPr="00E34E46">
        <w:t>Vous trouverez ci-dessous des matrices désignées pour chaque étape du processus d’approvisionnement accessible.</w:t>
      </w:r>
    </w:p>
    <w:p w14:paraId="3B1A58DF" w14:textId="18ABE6E9" w:rsidR="00975153" w:rsidRPr="00E34E46" w:rsidRDefault="00975153" w:rsidP="00B56537">
      <w:pPr>
        <w:pStyle w:val="Heading5"/>
      </w:pPr>
      <w:bookmarkStart w:id="229" w:name="_Toc210828597"/>
      <w:r w:rsidRPr="00E34E46">
        <w:t>Planification</w:t>
      </w:r>
      <w:bookmarkEnd w:id="229"/>
    </w:p>
    <w:p w14:paraId="7CD031D5" w14:textId="77777777" w:rsidR="00975153" w:rsidRPr="00E34E46" w:rsidRDefault="00975153" w:rsidP="00E56C38">
      <w:pPr>
        <w:pStyle w:val="ListParagraph"/>
        <w:numPr>
          <w:ilvl w:val="0"/>
          <w:numId w:val="37"/>
        </w:numPr>
        <w:ind w:hanging="720"/>
      </w:pPr>
      <w:r w:rsidRPr="00E34E46">
        <w:t>But de l’approvisionnement</w:t>
      </w:r>
    </w:p>
    <w:p w14:paraId="5A14BBE0" w14:textId="77777777" w:rsidR="00975153" w:rsidRPr="00E34E46" w:rsidRDefault="00975153" w:rsidP="00E56C38">
      <w:pPr>
        <w:pStyle w:val="ListParagraph"/>
        <w:numPr>
          <w:ilvl w:val="0"/>
          <w:numId w:val="37"/>
        </w:numPr>
        <w:ind w:hanging="720"/>
      </w:pPr>
      <w:r w:rsidRPr="00E34E46">
        <w:t>Déterminer les intervenants qui participent au processus d’approvisionnement</w:t>
      </w:r>
    </w:p>
    <w:p w14:paraId="6878782F" w14:textId="77777777" w:rsidR="00975153" w:rsidRPr="00E34E46" w:rsidRDefault="00975153" w:rsidP="00E56C38">
      <w:pPr>
        <w:pStyle w:val="ListParagraph"/>
        <w:numPr>
          <w:ilvl w:val="0"/>
          <w:numId w:val="37"/>
        </w:numPr>
        <w:ind w:hanging="720"/>
      </w:pPr>
      <w:r w:rsidRPr="00E34E46">
        <w:t>Déterminer qui est l’utilisateur final</w:t>
      </w:r>
    </w:p>
    <w:p w14:paraId="70A78DEB" w14:textId="77777777" w:rsidR="00975153" w:rsidRPr="00E34E46" w:rsidRDefault="00975153" w:rsidP="00B56537">
      <w:pPr>
        <w:pStyle w:val="Heading5"/>
      </w:pPr>
      <w:bookmarkStart w:id="230" w:name="_Toc210828598"/>
      <w:r w:rsidRPr="00E34E46">
        <w:t>Budgétisation</w:t>
      </w:r>
      <w:bookmarkEnd w:id="230"/>
    </w:p>
    <w:p w14:paraId="66FC7152" w14:textId="77777777" w:rsidR="00975153" w:rsidRPr="00E34E46" w:rsidRDefault="00975153" w:rsidP="00E56C38">
      <w:pPr>
        <w:pStyle w:val="ListParagraph"/>
        <w:numPr>
          <w:ilvl w:val="0"/>
          <w:numId w:val="37"/>
        </w:numPr>
        <w:ind w:hanging="720"/>
      </w:pPr>
      <w:r w:rsidRPr="00E34E46">
        <w:t xml:space="preserve">Budget </w:t>
      </w:r>
    </w:p>
    <w:p w14:paraId="7D9447DA" w14:textId="77777777" w:rsidR="00975153" w:rsidRPr="00E34E46" w:rsidRDefault="00975153" w:rsidP="00E56C38">
      <w:pPr>
        <w:pStyle w:val="ListParagraph"/>
        <w:numPr>
          <w:ilvl w:val="0"/>
          <w:numId w:val="37"/>
        </w:numPr>
        <w:ind w:hanging="720"/>
      </w:pPr>
      <w:r w:rsidRPr="00E34E46">
        <w:lastRenderedPageBreak/>
        <w:t>Échelle d’achat : nombre d’unités, achat ponctuel ou besoin d’acheter au fil du temps</w:t>
      </w:r>
    </w:p>
    <w:p w14:paraId="3C957A12" w14:textId="77777777" w:rsidR="00975153" w:rsidRPr="00E34E46" w:rsidRDefault="00975153" w:rsidP="00B56537">
      <w:pPr>
        <w:pStyle w:val="Heading5"/>
      </w:pPr>
      <w:bookmarkStart w:id="231" w:name="_Toc210828599"/>
      <w:r w:rsidRPr="00E34E46">
        <w:t>Analyse du marché</w:t>
      </w:r>
      <w:bookmarkEnd w:id="231"/>
    </w:p>
    <w:p w14:paraId="4D78D264" w14:textId="77777777" w:rsidR="00975153" w:rsidRPr="00E34E46" w:rsidRDefault="00975153" w:rsidP="00E56C38">
      <w:pPr>
        <w:pStyle w:val="ListParagraph"/>
        <w:numPr>
          <w:ilvl w:val="0"/>
          <w:numId w:val="37"/>
        </w:numPr>
        <w:ind w:hanging="720"/>
      </w:pPr>
      <w:r w:rsidRPr="00E34E46">
        <w:t>Versions accessibles dans le marché</w:t>
      </w:r>
    </w:p>
    <w:p w14:paraId="2F2C159B" w14:textId="77777777" w:rsidR="00975153" w:rsidRPr="00E34E46" w:rsidRDefault="00975153" w:rsidP="00E56C38">
      <w:pPr>
        <w:pStyle w:val="ListParagraph"/>
        <w:numPr>
          <w:ilvl w:val="0"/>
          <w:numId w:val="37"/>
        </w:numPr>
        <w:ind w:hanging="720"/>
      </w:pPr>
      <w:r w:rsidRPr="00E34E46">
        <w:t>Coût du produit</w:t>
      </w:r>
    </w:p>
    <w:p w14:paraId="49459587" w14:textId="77777777" w:rsidR="00975153" w:rsidRPr="00E34E46" w:rsidRDefault="00975153" w:rsidP="00E56C38">
      <w:pPr>
        <w:pStyle w:val="ListParagraph"/>
        <w:numPr>
          <w:ilvl w:val="0"/>
          <w:numId w:val="37"/>
        </w:numPr>
        <w:ind w:hanging="720"/>
      </w:pPr>
      <w:r w:rsidRPr="00E34E46">
        <w:t>Réduction de prix offerte par le fournisseur (rabais ou offres sur les produits ou services)</w:t>
      </w:r>
    </w:p>
    <w:p w14:paraId="0D863B0E" w14:textId="77777777" w:rsidR="00975153" w:rsidRPr="00E34E46" w:rsidRDefault="00975153" w:rsidP="00B56537">
      <w:pPr>
        <w:pStyle w:val="Heading5"/>
      </w:pPr>
      <w:bookmarkStart w:id="232" w:name="_Toc210828600"/>
      <w:r w:rsidRPr="00E34E46">
        <w:t>Sélection des fournisseurs</w:t>
      </w:r>
      <w:bookmarkEnd w:id="232"/>
    </w:p>
    <w:p w14:paraId="719447D9" w14:textId="77777777" w:rsidR="00975153" w:rsidRPr="00E34E46" w:rsidRDefault="00975153" w:rsidP="00E56C38">
      <w:pPr>
        <w:pStyle w:val="ListParagraph"/>
        <w:numPr>
          <w:ilvl w:val="0"/>
          <w:numId w:val="37"/>
        </w:numPr>
        <w:ind w:hanging="720"/>
      </w:pPr>
      <w:r w:rsidRPr="00E34E46">
        <w:t>Nombre de fournisseurs</w:t>
      </w:r>
    </w:p>
    <w:p w14:paraId="60953FC6" w14:textId="77777777" w:rsidR="00975153" w:rsidRPr="00E34E46" w:rsidRDefault="00975153" w:rsidP="00E56C38">
      <w:pPr>
        <w:pStyle w:val="ListParagraph"/>
        <w:numPr>
          <w:ilvl w:val="0"/>
          <w:numId w:val="37"/>
        </w:numPr>
        <w:ind w:hanging="720"/>
      </w:pPr>
      <w:r w:rsidRPr="00E34E46">
        <w:t>DDR dans un format accessible</w:t>
      </w:r>
    </w:p>
    <w:p w14:paraId="58BC7727" w14:textId="77777777" w:rsidR="00975153" w:rsidRPr="00E34E46" w:rsidRDefault="00975153" w:rsidP="00E56C38">
      <w:pPr>
        <w:pStyle w:val="ListParagraph"/>
        <w:numPr>
          <w:ilvl w:val="0"/>
          <w:numId w:val="37"/>
        </w:numPr>
        <w:ind w:hanging="720"/>
      </w:pPr>
      <w:r w:rsidRPr="00E34E46">
        <w:t>Nombre de fournisseurs ayant répondu à la DP</w:t>
      </w:r>
    </w:p>
    <w:p w14:paraId="51340668" w14:textId="67C558A2" w:rsidR="00975153" w:rsidRPr="00E34E46" w:rsidRDefault="00975153" w:rsidP="00B56537">
      <w:pPr>
        <w:pStyle w:val="Heading5"/>
      </w:pPr>
      <w:bookmarkStart w:id="233" w:name="_Toc168722603"/>
      <w:bookmarkStart w:id="234" w:name="_Toc210828601"/>
      <w:r w:rsidRPr="00E34E46">
        <w:t>Invitation à soumissionner</w:t>
      </w:r>
      <w:bookmarkEnd w:id="233"/>
      <w:bookmarkEnd w:id="234"/>
    </w:p>
    <w:p w14:paraId="53E6AB8E" w14:textId="77777777" w:rsidR="00975153" w:rsidRPr="00E34E46" w:rsidRDefault="00975153" w:rsidP="00E56C38">
      <w:pPr>
        <w:pStyle w:val="ListParagraph"/>
        <w:numPr>
          <w:ilvl w:val="0"/>
          <w:numId w:val="37"/>
        </w:numPr>
        <w:ind w:hanging="720"/>
      </w:pPr>
      <w:r w:rsidRPr="00E34E46">
        <w:t>Le fournisseur figure-t-il sur notre liste de fournisseurs préapprouvés?</w:t>
      </w:r>
    </w:p>
    <w:p w14:paraId="53505661" w14:textId="77777777" w:rsidR="00975153" w:rsidRPr="00E34E46" w:rsidRDefault="00975153" w:rsidP="00E56C38">
      <w:pPr>
        <w:pStyle w:val="ListParagraph"/>
        <w:numPr>
          <w:ilvl w:val="0"/>
          <w:numId w:val="37"/>
        </w:numPr>
        <w:ind w:hanging="720"/>
      </w:pPr>
      <w:r w:rsidRPr="00E34E46">
        <w:t>Taille de l’entreprise ou de l’organisation du fournisseur</w:t>
      </w:r>
    </w:p>
    <w:p w14:paraId="4C0EA160" w14:textId="77777777" w:rsidR="00975153" w:rsidRPr="00E34E46" w:rsidRDefault="00975153" w:rsidP="00E56C38">
      <w:pPr>
        <w:pStyle w:val="ListParagraph"/>
        <w:numPr>
          <w:ilvl w:val="0"/>
          <w:numId w:val="37"/>
        </w:numPr>
        <w:ind w:hanging="720"/>
      </w:pPr>
      <w:r w:rsidRPr="00E34E46">
        <w:t>Emplacement du fournisseur et durée du cycle du bon de commande</w:t>
      </w:r>
    </w:p>
    <w:p w14:paraId="6851CD6B" w14:textId="77777777" w:rsidR="00975153" w:rsidRPr="00E34E46" w:rsidRDefault="00975153" w:rsidP="00E56C38">
      <w:pPr>
        <w:pStyle w:val="ListParagraph"/>
        <w:numPr>
          <w:ilvl w:val="0"/>
          <w:numId w:val="37"/>
        </w:numPr>
        <w:ind w:hanging="720"/>
      </w:pPr>
      <w:r w:rsidRPr="00E34E46">
        <w:t>Le fournisseur dispose d’une stratégie et d’un plan d’accessibilité</w:t>
      </w:r>
    </w:p>
    <w:p w14:paraId="25427124" w14:textId="77777777" w:rsidR="00975153" w:rsidRPr="00E34E46" w:rsidRDefault="00975153" w:rsidP="00E56C38">
      <w:pPr>
        <w:pStyle w:val="ListParagraph"/>
        <w:numPr>
          <w:ilvl w:val="0"/>
          <w:numId w:val="37"/>
        </w:numPr>
        <w:ind w:hanging="720"/>
      </w:pPr>
      <w:r w:rsidRPr="00E34E46">
        <w:lastRenderedPageBreak/>
        <w:t>Le fournisseur embauche des personnes en situation de handicap pour l’équipe d’approvisionnement</w:t>
      </w:r>
    </w:p>
    <w:p w14:paraId="00FB41CE" w14:textId="77777777" w:rsidR="00975153" w:rsidRPr="00E34E46" w:rsidRDefault="00975153" w:rsidP="00E56C38">
      <w:pPr>
        <w:pStyle w:val="ListParagraph"/>
        <w:numPr>
          <w:ilvl w:val="0"/>
          <w:numId w:val="37"/>
        </w:numPr>
        <w:ind w:hanging="720"/>
      </w:pPr>
      <w:r w:rsidRPr="00E34E46">
        <w:t xml:space="preserve">Le fournisseur embauche des personnes en situation de handicap dans sa main-d’œuvre </w:t>
      </w:r>
      <w:r w:rsidRPr="00E34E46">
        <w:tab/>
      </w:r>
    </w:p>
    <w:p w14:paraId="42183981" w14:textId="77777777" w:rsidR="00975153" w:rsidRPr="00E34E46" w:rsidRDefault="00975153" w:rsidP="00E56C38">
      <w:pPr>
        <w:pStyle w:val="ListParagraph"/>
        <w:numPr>
          <w:ilvl w:val="0"/>
          <w:numId w:val="37"/>
        </w:numPr>
        <w:ind w:hanging="720"/>
      </w:pPr>
      <w:r w:rsidRPr="00E34E46">
        <w:t>Nombre de demandes de renseignements sur l’accessibilité par de potentiels soumissionnaires en situation de handicap</w:t>
      </w:r>
    </w:p>
    <w:p w14:paraId="3662D026" w14:textId="77777777" w:rsidR="00975153" w:rsidRPr="00E34E46" w:rsidRDefault="00975153" w:rsidP="00E56C38">
      <w:pPr>
        <w:pStyle w:val="ListParagraph"/>
        <w:numPr>
          <w:ilvl w:val="0"/>
          <w:numId w:val="37"/>
        </w:numPr>
        <w:ind w:hanging="720"/>
      </w:pPr>
      <w:r w:rsidRPr="00E34E46">
        <w:t xml:space="preserve">Nombre d’enregistrements de nouveaux fournisseurs par des organisations et des entreprises selon le handicap ou dirigées par des personnes en situation de handicap </w:t>
      </w:r>
    </w:p>
    <w:p w14:paraId="07D80F49" w14:textId="77777777" w:rsidR="00975153" w:rsidRPr="00E34E46" w:rsidRDefault="00975153" w:rsidP="00E56C38">
      <w:pPr>
        <w:pStyle w:val="ListParagraph"/>
        <w:numPr>
          <w:ilvl w:val="0"/>
          <w:numId w:val="37"/>
        </w:numPr>
        <w:ind w:hanging="720"/>
      </w:pPr>
      <w:r w:rsidRPr="00E34E46">
        <w:t xml:space="preserve">Matrice pour évaluer la diversité des fournisseurs – à développer </w:t>
      </w:r>
    </w:p>
    <w:p w14:paraId="06CF0FF5" w14:textId="77777777" w:rsidR="00975153" w:rsidRPr="00E34E46" w:rsidRDefault="00975153" w:rsidP="00E56C38">
      <w:pPr>
        <w:pStyle w:val="ListParagraph"/>
        <w:numPr>
          <w:ilvl w:val="0"/>
          <w:numId w:val="37"/>
        </w:numPr>
        <w:ind w:hanging="720"/>
      </w:pPr>
      <w:r w:rsidRPr="00E34E46">
        <w:t xml:space="preserve">Pourcentage de fournisseurs soumettant des offres et répondant à des appels d’offres, certifiés en tant qu’employeurs dirigés par des personnes en situation de handicap et inclusifs </w:t>
      </w:r>
    </w:p>
    <w:p w14:paraId="50A3D277" w14:textId="77777777" w:rsidR="00975153" w:rsidRPr="00E34E46" w:rsidRDefault="00975153" w:rsidP="00E56C38">
      <w:pPr>
        <w:pStyle w:val="ListParagraph"/>
        <w:numPr>
          <w:ilvl w:val="0"/>
          <w:numId w:val="37"/>
        </w:numPr>
        <w:ind w:hanging="720"/>
      </w:pPr>
      <w:r w:rsidRPr="00E34E46">
        <w:t>Pourcentage de demandes de propositions et d’appels d’offres incluant des critères et des pondérations en matière d’accessibilité</w:t>
      </w:r>
    </w:p>
    <w:p w14:paraId="37CDFC5E" w14:textId="77777777" w:rsidR="00975153" w:rsidRPr="00E34E46" w:rsidRDefault="00975153" w:rsidP="00E56C38">
      <w:pPr>
        <w:pStyle w:val="ListParagraph"/>
        <w:numPr>
          <w:ilvl w:val="0"/>
          <w:numId w:val="37"/>
        </w:numPr>
        <w:ind w:hanging="720"/>
      </w:pPr>
      <w:r w:rsidRPr="00E34E46">
        <w:t>Proportion des documents d’appel d’offres créés d’emblée en fonction de critères d’accessibilité</w:t>
      </w:r>
    </w:p>
    <w:p w14:paraId="74577385" w14:textId="77777777" w:rsidR="00975153" w:rsidRPr="00E34E46" w:rsidRDefault="00975153" w:rsidP="00E56C38">
      <w:pPr>
        <w:pStyle w:val="ListParagraph"/>
        <w:numPr>
          <w:ilvl w:val="0"/>
          <w:numId w:val="37"/>
        </w:numPr>
        <w:ind w:hanging="720"/>
      </w:pPr>
      <w:r w:rsidRPr="00E34E46">
        <w:t>Pourcentage et total des dépenses sur des contrats comportant des critères d’accessibilité</w:t>
      </w:r>
    </w:p>
    <w:p w14:paraId="59F79932" w14:textId="77777777" w:rsidR="00975153" w:rsidRPr="00E34E46" w:rsidRDefault="00975153" w:rsidP="00E56C38">
      <w:pPr>
        <w:pStyle w:val="ListParagraph"/>
        <w:numPr>
          <w:ilvl w:val="0"/>
          <w:numId w:val="37"/>
        </w:numPr>
        <w:ind w:hanging="720"/>
      </w:pPr>
      <w:r w:rsidRPr="00E34E46">
        <w:lastRenderedPageBreak/>
        <w:t xml:space="preserve">Nombre de contrats retirés en raison de problèmes d’accessibilité </w:t>
      </w:r>
    </w:p>
    <w:p w14:paraId="0ABCF1F4" w14:textId="77777777" w:rsidR="00975153" w:rsidRPr="00E34E46" w:rsidRDefault="00975153" w:rsidP="00B56537">
      <w:pPr>
        <w:pStyle w:val="Heading5"/>
      </w:pPr>
      <w:bookmarkStart w:id="235" w:name="_Toc210828602"/>
      <w:r w:rsidRPr="00E34E46">
        <w:t>Validation de l’accessibilité</w:t>
      </w:r>
      <w:bookmarkEnd w:id="235"/>
    </w:p>
    <w:p w14:paraId="0D9AC881" w14:textId="77777777" w:rsidR="00975153" w:rsidRPr="00E34E46" w:rsidRDefault="00975153" w:rsidP="00E56C38">
      <w:pPr>
        <w:pStyle w:val="ListParagraph"/>
        <w:numPr>
          <w:ilvl w:val="0"/>
          <w:numId w:val="37"/>
        </w:numPr>
        <w:ind w:hanging="720"/>
      </w:pPr>
      <w:r w:rsidRPr="00E34E46">
        <w:t>Accessibilité des documents échangés</w:t>
      </w:r>
    </w:p>
    <w:p w14:paraId="060AAC72" w14:textId="77777777" w:rsidR="00975153" w:rsidRPr="00E34E46" w:rsidRDefault="00975153" w:rsidP="00E56C38">
      <w:pPr>
        <w:pStyle w:val="ListParagraph"/>
        <w:numPr>
          <w:ilvl w:val="0"/>
          <w:numId w:val="37"/>
        </w:numPr>
        <w:ind w:hanging="720"/>
      </w:pPr>
      <w:r w:rsidRPr="00E34E46">
        <w:t>Nombre de rapports de conformité en matière d’accessibilité reçus pour un produit, un bien ou un service</w:t>
      </w:r>
    </w:p>
    <w:p w14:paraId="62865200" w14:textId="77777777" w:rsidR="00975153" w:rsidRPr="00E34E46" w:rsidRDefault="00975153" w:rsidP="00E56C38">
      <w:pPr>
        <w:pStyle w:val="ListParagraph"/>
        <w:numPr>
          <w:ilvl w:val="0"/>
          <w:numId w:val="37"/>
        </w:numPr>
        <w:ind w:hanging="720"/>
      </w:pPr>
      <w:r w:rsidRPr="00E34E46">
        <w:t>Vérification de l’assurance qualité</w:t>
      </w:r>
    </w:p>
    <w:p w14:paraId="5604B9DE" w14:textId="77777777" w:rsidR="00975153" w:rsidRPr="00E34E46" w:rsidRDefault="00975153" w:rsidP="00E56C38">
      <w:pPr>
        <w:pStyle w:val="ListParagraph"/>
        <w:numPr>
          <w:ilvl w:val="0"/>
          <w:numId w:val="37"/>
        </w:numPr>
        <w:ind w:hanging="720"/>
      </w:pPr>
      <w:r w:rsidRPr="00E34E46">
        <w:t>Responsabilisation, temps de réponse</w:t>
      </w:r>
    </w:p>
    <w:p w14:paraId="0E5B5AC2" w14:textId="4355F349" w:rsidR="00975153" w:rsidRPr="00E34E46" w:rsidRDefault="00975153" w:rsidP="00E56C38">
      <w:pPr>
        <w:pStyle w:val="ListParagraph"/>
        <w:numPr>
          <w:ilvl w:val="0"/>
          <w:numId w:val="37"/>
        </w:numPr>
        <w:ind w:hanging="720"/>
      </w:pPr>
      <w:r w:rsidRPr="00E34E46">
        <w:t>Réputation auprès des partenaires en matière de handicap (bouche-à-oreille; avec qui d’autre travaillent-ils?)</w:t>
      </w:r>
    </w:p>
    <w:p w14:paraId="61B58789" w14:textId="77777777" w:rsidR="00975153" w:rsidRPr="00E34E46" w:rsidRDefault="00975153" w:rsidP="00E56C38">
      <w:pPr>
        <w:pStyle w:val="ListParagraph"/>
        <w:numPr>
          <w:ilvl w:val="0"/>
          <w:numId w:val="37"/>
        </w:numPr>
        <w:ind w:hanging="720"/>
      </w:pPr>
      <w:r w:rsidRPr="00E34E46">
        <w:t>Compétences des fournisseurs en matière d’accessibilité</w:t>
      </w:r>
    </w:p>
    <w:p w14:paraId="0C1D826B" w14:textId="77777777" w:rsidR="00975153" w:rsidRPr="00E34E46" w:rsidRDefault="00975153" w:rsidP="00E56C38">
      <w:pPr>
        <w:pStyle w:val="ListParagraph"/>
        <w:numPr>
          <w:ilvl w:val="0"/>
          <w:numId w:val="37"/>
        </w:numPr>
        <w:ind w:hanging="720"/>
      </w:pPr>
      <w:r w:rsidRPr="00E34E46">
        <w:t>Gestion de la conformité</w:t>
      </w:r>
    </w:p>
    <w:p w14:paraId="6320E8B5" w14:textId="77777777" w:rsidR="00975153" w:rsidRPr="00E34E46" w:rsidRDefault="00975153" w:rsidP="00E56C38">
      <w:pPr>
        <w:pStyle w:val="ListParagraph"/>
        <w:numPr>
          <w:ilvl w:val="0"/>
          <w:numId w:val="37"/>
        </w:numPr>
        <w:ind w:hanging="720"/>
      </w:pPr>
      <w:r w:rsidRPr="00E34E46">
        <w:t>Capacité du fournisseur à fournir un environnement de bac à sable</w:t>
      </w:r>
    </w:p>
    <w:p w14:paraId="008C5D8C" w14:textId="77777777" w:rsidR="00975153" w:rsidRPr="00E34E46" w:rsidRDefault="00975153" w:rsidP="00E56C38">
      <w:pPr>
        <w:pStyle w:val="ListParagraph"/>
        <w:numPr>
          <w:ilvl w:val="0"/>
          <w:numId w:val="37"/>
        </w:numPr>
        <w:ind w:hanging="720"/>
      </w:pPr>
      <w:r w:rsidRPr="00E34E46">
        <w:t>Démonstration du fournisseur pour l’utilisation de la plateforme</w:t>
      </w:r>
    </w:p>
    <w:p w14:paraId="23ED65A7" w14:textId="77777777" w:rsidR="00975153" w:rsidRPr="00E34E46" w:rsidRDefault="00975153" w:rsidP="00E56C38">
      <w:pPr>
        <w:pStyle w:val="ListParagraph"/>
        <w:numPr>
          <w:ilvl w:val="0"/>
          <w:numId w:val="37"/>
        </w:numPr>
        <w:ind w:hanging="720"/>
      </w:pPr>
      <w:r w:rsidRPr="00E34E46">
        <w:t>Temps accordé pour la mise à l’essai</w:t>
      </w:r>
    </w:p>
    <w:p w14:paraId="65618E6F" w14:textId="77777777" w:rsidR="00975153" w:rsidRPr="00E34E46" w:rsidRDefault="00975153" w:rsidP="00E56C38">
      <w:pPr>
        <w:pStyle w:val="ListParagraph"/>
        <w:numPr>
          <w:ilvl w:val="0"/>
          <w:numId w:val="37"/>
        </w:numPr>
        <w:ind w:hanging="720"/>
      </w:pPr>
      <w:r w:rsidRPr="00E34E46">
        <w:t>Temps accordé pour apporter les corrections proposées</w:t>
      </w:r>
    </w:p>
    <w:p w14:paraId="6AA22AB3" w14:textId="77777777" w:rsidR="00975153" w:rsidRPr="00E34E46" w:rsidRDefault="00975153" w:rsidP="00E56C38">
      <w:pPr>
        <w:pStyle w:val="ListParagraph"/>
        <w:numPr>
          <w:ilvl w:val="0"/>
          <w:numId w:val="37"/>
        </w:numPr>
        <w:ind w:hanging="720"/>
      </w:pPr>
      <w:r w:rsidRPr="00E34E46">
        <w:t>Suivi du temps nécessaire pour apporter les corrections proposées par rapport au temps réel</w:t>
      </w:r>
    </w:p>
    <w:p w14:paraId="6A4D0C9C" w14:textId="77777777" w:rsidR="00975153" w:rsidRPr="00E34E46" w:rsidRDefault="00975153" w:rsidP="00E56C38">
      <w:pPr>
        <w:pStyle w:val="ListParagraph"/>
        <w:numPr>
          <w:ilvl w:val="0"/>
          <w:numId w:val="37"/>
        </w:numPr>
        <w:ind w:hanging="720"/>
      </w:pPr>
      <w:r w:rsidRPr="00E34E46">
        <w:lastRenderedPageBreak/>
        <w:t>Coût supplémentaire associé à la correction : coût lié à la mise en œuvre des mesures d’accessibilité</w:t>
      </w:r>
    </w:p>
    <w:p w14:paraId="28E9B8FB" w14:textId="77777777" w:rsidR="00975153" w:rsidRPr="00E34E46" w:rsidRDefault="00975153" w:rsidP="00E56C38">
      <w:pPr>
        <w:pStyle w:val="ListParagraph"/>
        <w:numPr>
          <w:ilvl w:val="0"/>
          <w:numId w:val="37"/>
        </w:numPr>
        <w:ind w:hanging="720"/>
      </w:pPr>
      <w:r w:rsidRPr="00E34E46">
        <w:t>Combien de personnes ont accès aux tests?</w:t>
      </w:r>
    </w:p>
    <w:p w14:paraId="296A35C6" w14:textId="77777777" w:rsidR="00975153" w:rsidRPr="00E34E46" w:rsidRDefault="00975153" w:rsidP="00E56C38">
      <w:pPr>
        <w:pStyle w:val="ListParagraph"/>
        <w:numPr>
          <w:ilvl w:val="0"/>
          <w:numId w:val="37"/>
        </w:numPr>
        <w:ind w:hanging="720"/>
      </w:pPr>
      <w:r w:rsidRPr="00E34E46">
        <w:t>Coût de licence associé à l’accès des testeurs</w:t>
      </w:r>
    </w:p>
    <w:p w14:paraId="6A9DB66F" w14:textId="77777777" w:rsidR="00975153" w:rsidRPr="00E34E46" w:rsidRDefault="00975153" w:rsidP="00E56C38">
      <w:pPr>
        <w:pStyle w:val="ListParagraph"/>
        <w:numPr>
          <w:ilvl w:val="0"/>
          <w:numId w:val="37"/>
        </w:numPr>
        <w:ind w:hanging="720"/>
      </w:pPr>
      <w:r w:rsidRPr="00E34E46">
        <w:t xml:space="preserve">Nombre de séances de formation fournies par le fournisseur </w:t>
      </w:r>
    </w:p>
    <w:p w14:paraId="3F6CA16F" w14:textId="77777777" w:rsidR="00975153" w:rsidRPr="00E34E46" w:rsidRDefault="00975153" w:rsidP="00E56C38">
      <w:pPr>
        <w:pStyle w:val="ListParagraph"/>
        <w:numPr>
          <w:ilvl w:val="0"/>
          <w:numId w:val="37"/>
        </w:numPr>
        <w:ind w:hanging="720"/>
      </w:pPr>
      <w:r w:rsidRPr="00E34E46">
        <w:t>Interopérabilité avec différentes technologies d’assistance</w:t>
      </w:r>
    </w:p>
    <w:p w14:paraId="4579E263" w14:textId="77777777" w:rsidR="00975153" w:rsidRPr="00E34E46" w:rsidRDefault="00975153" w:rsidP="00E56C38">
      <w:pPr>
        <w:pStyle w:val="ListParagraph"/>
        <w:numPr>
          <w:ilvl w:val="0"/>
          <w:numId w:val="37"/>
        </w:numPr>
        <w:ind w:hanging="720"/>
      </w:pPr>
      <w:r w:rsidRPr="00E34E46">
        <w:t xml:space="preserve">Coûts supplémentaires associés à la mise à disposition du produit </w:t>
      </w:r>
    </w:p>
    <w:p w14:paraId="6FEEB93E" w14:textId="105C87C7" w:rsidR="00975153" w:rsidRPr="00E34E46" w:rsidRDefault="00975153" w:rsidP="00E56C38">
      <w:pPr>
        <w:pStyle w:val="ListParagraph"/>
        <w:numPr>
          <w:ilvl w:val="0"/>
          <w:numId w:val="37"/>
        </w:numPr>
        <w:ind w:hanging="720"/>
      </w:pPr>
      <w:r w:rsidRPr="00E34E46">
        <w:t>Accès des fournisseurs à un site Web organisationnel accessible</w:t>
      </w:r>
    </w:p>
    <w:p w14:paraId="34457217" w14:textId="77777777" w:rsidR="00975153" w:rsidRPr="00E34E46" w:rsidRDefault="00975153" w:rsidP="00B56537">
      <w:pPr>
        <w:pStyle w:val="Heading5"/>
      </w:pPr>
      <w:bookmarkStart w:id="236" w:name="_Toc210828603"/>
      <w:r w:rsidRPr="00E34E46">
        <w:t>Évaluation des soumissions</w:t>
      </w:r>
      <w:bookmarkEnd w:id="236"/>
    </w:p>
    <w:p w14:paraId="6B665B89" w14:textId="2FEF7EA7" w:rsidR="00242960" w:rsidRPr="00E34E46" w:rsidRDefault="00242960" w:rsidP="00E56C38">
      <w:pPr>
        <w:ind w:left="720" w:hanging="720"/>
        <w:contextualSpacing/>
      </w:pPr>
      <w:r w:rsidRPr="00E34E46">
        <w:t>45.</w:t>
      </w:r>
      <w:r w:rsidR="00E56C38" w:rsidRPr="00E34E46">
        <w:tab/>
      </w:r>
      <w:r w:rsidRPr="00E34E46">
        <w:t>Risques associés au produit inaccessible</w:t>
      </w:r>
    </w:p>
    <w:p w14:paraId="376BBFAF" w14:textId="09BD1739" w:rsidR="00975153" w:rsidRPr="00E34E46" w:rsidRDefault="00242960" w:rsidP="00E56C38">
      <w:pPr>
        <w:ind w:left="720" w:hanging="720"/>
        <w:contextualSpacing/>
      </w:pPr>
      <w:r w:rsidRPr="00E34E46">
        <w:t>46.</w:t>
      </w:r>
      <w:r w:rsidR="00E56C38" w:rsidRPr="00E34E46">
        <w:tab/>
      </w:r>
      <w:r w:rsidRPr="00E34E46">
        <w:t>Conséquences liées au risque</w:t>
      </w:r>
    </w:p>
    <w:p w14:paraId="3BA56F39" w14:textId="04656FBD" w:rsidR="00975153" w:rsidRPr="00E34E46" w:rsidRDefault="009E12DA" w:rsidP="00E56C38">
      <w:pPr>
        <w:ind w:left="720" w:hanging="720"/>
        <w:contextualSpacing/>
      </w:pPr>
      <w:r w:rsidRPr="00E34E46">
        <w:t>47.</w:t>
      </w:r>
      <w:r w:rsidR="00E56C38" w:rsidRPr="00E34E46">
        <w:tab/>
      </w:r>
      <w:r w:rsidRPr="00E34E46">
        <w:t xml:space="preserve">Stratégies d’atténuation </w:t>
      </w:r>
    </w:p>
    <w:p w14:paraId="54A89E98" w14:textId="35F056D9" w:rsidR="00975153" w:rsidRPr="00E34E46" w:rsidRDefault="00242960" w:rsidP="00E56C38">
      <w:pPr>
        <w:ind w:left="720" w:hanging="720"/>
        <w:contextualSpacing/>
      </w:pPr>
      <w:r w:rsidRPr="00E34E46">
        <w:t>48.</w:t>
      </w:r>
      <w:r w:rsidR="00E56C38" w:rsidRPr="00E34E46">
        <w:tab/>
      </w:r>
      <w:r w:rsidRPr="00E34E46">
        <w:t>Nombre d’évaluations des risques liées à l’accessibilité réalisées avant et après la mise en œuvre</w:t>
      </w:r>
    </w:p>
    <w:p w14:paraId="63D91298" w14:textId="26D905EA" w:rsidR="00975153" w:rsidRPr="00E34E46" w:rsidRDefault="00242960" w:rsidP="00E56C38">
      <w:pPr>
        <w:ind w:left="720" w:hanging="720"/>
        <w:contextualSpacing/>
      </w:pPr>
      <w:r w:rsidRPr="00E34E46">
        <w:t>49.</w:t>
      </w:r>
      <w:r w:rsidR="00E56C38" w:rsidRPr="00E34E46">
        <w:tab/>
      </w:r>
      <w:r w:rsidRPr="00E34E46">
        <w:t>Analyse coûts-avantages</w:t>
      </w:r>
    </w:p>
    <w:p w14:paraId="19AB4835" w14:textId="77777777" w:rsidR="00975153" w:rsidRPr="00E34E46" w:rsidRDefault="00975153" w:rsidP="00B56537">
      <w:pPr>
        <w:pStyle w:val="Heading5"/>
      </w:pPr>
      <w:bookmarkStart w:id="237" w:name="_Toc210828604"/>
      <w:r w:rsidRPr="00E34E46">
        <w:lastRenderedPageBreak/>
        <w:t>Approbation et attribution du contrat</w:t>
      </w:r>
      <w:bookmarkEnd w:id="237"/>
    </w:p>
    <w:p w14:paraId="5AFDDDD0" w14:textId="22666046" w:rsidR="00975153" w:rsidRPr="00E34E46" w:rsidRDefault="00242960" w:rsidP="00E56C38">
      <w:pPr>
        <w:ind w:left="720" w:hanging="720"/>
        <w:contextualSpacing/>
      </w:pPr>
      <w:r w:rsidRPr="00E34E46">
        <w:t>50.</w:t>
      </w:r>
      <w:r w:rsidR="00E56C38" w:rsidRPr="00E34E46">
        <w:tab/>
      </w:r>
      <w:r w:rsidRPr="00E34E46">
        <w:t>Nombre de nouveaux contrats attribués par trimestre et cumulativement</w:t>
      </w:r>
    </w:p>
    <w:p w14:paraId="5833561E" w14:textId="1E8F7CD4" w:rsidR="00975153" w:rsidRPr="00E34E46" w:rsidRDefault="00242960" w:rsidP="00E56C38">
      <w:pPr>
        <w:ind w:left="720" w:hanging="720"/>
        <w:contextualSpacing/>
      </w:pPr>
      <w:r w:rsidRPr="00E34E46">
        <w:t>51.</w:t>
      </w:r>
      <w:r w:rsidR="00E56C38" w:rsidRPr="00E34E46">
        <w:tab/>
      </w:r>
      <w:r w:rsidRPr="00E34E46">
        <w:t>Nombre de contrats dans lesquels l’accessibilité est intégrée</w:t>
      </w:r>
    </w:p>
    <w:p w14:paraId="447BA9C5" w14:textId="0A0E709D" w:rsidR="00975153" w:rsidRPr="00E34E46" w:rsidRDefault="00242960" w:rsidP="00E56C38">
      <w:pPr>
        <w:ind w:left="720" w:hanging="720"/>
        <w:contextualSpacing/>
      </w:pPr>
      <w:r w:rsidRPr="00E34E46">
        <w:t>52.</w:t>
      </w:r>
      <w:r w:rsidR="00E56C38" w:rsidRPr="00E34E46">
        <w:tab/>
      </w:r>
      <w:r w:rsidRPr="00E34E46">
        <w:t>Suivi du temps écoulé entre la création du billet ou de la demande et le moment où l’utilisateur final reçoit le produit ou le service</w:t>
      </w:r>
    </w:p>
    <w:p w14:paraId="572CC17B" w14:textId="6EC49675" w:rsidR="00975153" w:rsidRPr="00E34E46" w:rsidRDefault="00975153" w:rsidP="00B56537">
      <w:pPr>
        <w:pStyle w:val="Heading5"/>
      </w:pPr>
      <w:bookmarkStart w:id="238" w:name="_Toc210828605"/>
      <w:r w:rsidRPr="00E34E46">
        <w:t>Administration et mise en œuvre du contrat</w:t>
      </w:r>
      <w:bookmarkEnd w:id="238"/>
    </w:p>
    <w:p w14:paraId="6B07807F" w14:textId="31E0A751" w:rsidR="00975153" w:rsidRPr="00E34E46" w:rsidRDefault="00242960" w:rsidP="00E56C38">
      <w:pPr>
        <w:ind w:left="720" w:hanging="720"/>
        <w:contextualSpacing/>
      </w:pPr>
      <w:r w:rsidRPr="00E34E46">
        <w:t>53.</w:t>
      </w:r>
      <w:r w:rsidR="00E56C38" w:rsidRPr="00E34E46">
        <w:tab/>
      </w:r>
      <w:r w:rsidRPr="00E34E46">
        <w:t>Suivi du nombre de plaintes reçues après la mise en œuvre du produit</w:t>
      </w:r>
    </w:p>
    <w:p w14:paraId="19D968CC" w14:textId="443CD1C6" w:rsidR="00975153" w:rsidRPr="00E34E46" w:rsidRDefault="00242960" w:rsidP="00E56C38">
      <w:pPr>
        <w:ind w:left="720" w:hanging="720"/>
        <w:contextualSpacing/>
      </w:pPr>
      <w:r w:rsidRPr="00E34E46">
        <w:t>54.</w:t>
      </w:r>
      <w:r w:rsidR="00E56C38" w:rsidRPr="00E34E46">
        <w:tab/>
      </w:r>
      <w:r w:rsidRPr="00E34E46">
        <w:t>Délai de préavis fourni par le fournisseur à chaque lancement d’une nouvelle fonctionnalité</w:t>
      </w:r>
    </w:p>
    <w:p w14:paraId="449619E0" w14:textId="62284697" w:rsidR="00975153" w:rsidRPr="00E34E46" w:rsidRDefault="00242960" w:rsidP="00E56C38">
      <w:pPr>
        <w:ind w:left="720" w:hanging="720"/>
        <w:contextualSpacing/>
      </w:pPr>
      <w:r w:rsidRPr="00E34E46">
        <w:t>55.</w:t>
      </w:r>
      <w:r w:rsidR="00E56C38" w:rsidRPr="00E34E46">
        <w:tab/>
      </w:r>
      <w:r w:rsidRPr="00E34E46">
        <w:t xml:space="preserve">Nombre d’audits réalisés sur la plateforme par des tests en continu </w:t>
      </w:r>
    </w:p>
    <w:p w14:paraId="4D6B6FF4" w14:textId="0A78FE86" w:rsidR="00975153" w:rsidRPr="00E34E46" w:rsidRDefault="00DF3D68" w:rsidP="00E56C38">
      <w:pPr>
        <w:ind w:left="720" w:hanging="720"/>
        <w:contextualSpacing/>
      </w:pPr>
      <w:r w:rsidRPr="00E34E46">
        <w:t>56.</w:t>
      </w:r>
      <w:r w:rsidR="00E56C38" w:rsidRPr="00E34E46">
        <w:tab/>
      </w:r>
      <w:r w:rsidRPr="00E34E46">
        <w:t>Délais des corrections apportées à l’accessibilité des produits</w:t>
      </w:r>
    </w:p>
    <w:p w14:paraId="2DB2CBB8" w14:textId="435BD131" w:rsidR="00975153" w:rsidRPr="00E34E46" w:rsidRDefault="00DF3D68" w:rsidP="00E56C38">
      <w:pPr>
        <w:ind w:left="720" w:hanging="720"/>
        <w:contextualSpacing/>
      </w:pPr>
      <w:r w:rsidRPr="00E34E46">
        <w:t>57.</w:t>
      </w:r>
      <w:r w:rsidR="00E56C38" w:rsidRPr="00E34E46">
        <w:tab/>
      </w:r>
      <w:r w:rsidRPr="00E34E46">
        <w:t>Suivi des plaintes liées à l’accessibilité et aux résolutions</w:t>
      </w:r>
    </w:p>
    <w:p w14:paraId="4FB65C1B" w14:textId="7179470E" w:rsidR="00975153" w:rsidRPr="00E34E46" w:rsidRDefault="00DF3D68" w:rsidP="00E56C38">
      <w:pPr>
        <w:ind w:left="720" w:hanging="720"/>
        <w:contextualSpacing/>
      </w:pPr>
      <w:r w:rsidRPr="00E34E46">
        <w:t>58.</w:t>
      </w:r>
      <w:r w:rsidR="00E56C38" w:rsidRPr="00E34E46">
        <w:tab/>
      </w:r>
      <w:r w:rsidRPr="00E34E46">
        <w:t xml:space="preserve">Nombre de membres du personnel à l’interne qui reçoit une formation propre à leur poste sur l’accessibilité et l’approvisionnement </w:t>
      </w:r>
    </w:p>
    <w:p w14:paraId="21F86116" w14:textId="06E8E326" w:rsidR="00975153" w:rsidRPr="00E34E46" w:rsidRDefault="00975153" w:rsidP="00B56537">
      <w:pPr>
        <w:pStyle w:val="Heading2"/>
      </w:pPr>
      <w:bookmarkStart w:id="239" w:name="_Toc168722605"/>
      <w:bookmarkStart w:id="240" w:name="_Toc224836488"/>
      <w:bookmarkStart w:id="241" w:name="_Toc224836716"/>
      <w:r w:rsidRPr="00E34E46">
        <w:lastRenderedPageBreak/>
        <w:t>Annexe E : Modèle de tableau de bord pour l’évaluation de l’approvisionnement</w:t>
      </w:r>
      <w:bookmarkEnd w:id="239"/>
      <w:bookmarkEnd w:id="240"/>
      <w:bookmarkEnd w:id="241"/>
    </w:p>
    <w:p w14:paraId="50B14456" w14:textId="77777777" w:rsidR="00975153" w:rsidRPr="00E34E46" w:rsidRDefault="00975153" w:rsidP="00B56537">
      <w:r w:rsidRPr="00E34E46">
        <w:t>La section suivante présente un modèle de tableau d’évaluation de l’approvisionnement pour aider les organisations à évaluer leurs projets d’approvisionnement et à déterminer si elles ont réussi à mettre en œuvre des pratiques d’approvisionnement accessible.</w:t>
      </w:r>
    </w:p>
    <w:p w14:paraId="3B976BB0" w14:textId="77777777" w:rsidR="00975153" w:rsidRPr="00E34E46" w:rsidRDefault="00975153" w:rsidP="00B5663F">
      <w:pPr>
        <w:pStyle w:val="Heading3"/>
      </w:pPr>
      <w:bookmarkStart w:id="242" w:name="_Toc210828607"/>
      <w:r w:rsidRPr="00E34E46">
        <w:t>Évaluation d’un projet d’approvisionnement individuel</w:t>
      </w:r>
      <w:bookmarkEnd w:id="242"/>
    </w:p>
    <w:p w14:paraId="3B0B0D9D" w14:textId="77777777" w:rsidR="00975153" w:rsidRPr="00E34E46" w:rsidRDefault="00975153" w:rsidP="00EE59DF">
      <w:pPr>
        <w:pStyle w:val="ListParagraph"/>
        <w:numPr>
          <w:ilvl w:val="0"/>
          <w:numId w:val="65"/>
        </w:numPr>
      </w:pPr>
      <w:r w:rsidRPr="00E34E46">
        <w:t>Nom du projet :</w:t>
      </w:r>
    </w:p>
    <w:p w14:paraId="32160F3C" w14:textId="77777777" w:rsidR="00975153" w:rsidRPr="00E34E46" w:rsidRDefault="00975153" w:rsidP="00EE59DF">
      <w:pPr>
        <w:pStyle w:val="ListParagraph"/>
        <w:numPr>
          <w:ilvl w:val="0"/>
          <w:numId w:val="65"/>
        </w:numPr>
      </w:pPr>
      <w:r w:rsidRPr="00E34E46">
        <w:t>Date des mesures :</w:t>
      </w:r>
    </w:p>
    <w:p w14:paraId="13534A6A" w14:textId="77777777" w:rsidR="00975153" w:rsidRPr="00E34E46" w:rsidRDefault="00975153" w:rsidP="00EE59DF">
      <w:pPr>
        <w:pStyle w:val="ListParagraph"/>
        <w:numPr>
          <w:ilvl w:val="0"/>
          <w:numId w:val="65"/>
        </w:numPr>
      </w:pPr>
      <w:r w:rsidRPr="00E34E46">
        <w:t>Catégorie de dépenses :</w:t>
      </w:r>
    </w:p>
    <w:p w14:paraId="7D5A8145" w14:textId="77777777" w:rsidR="00975153" w:rsidRPr="00E34E46" w:rsidRDefault="00975153" w:rsidP="00EE59DF">
      <w:pPr>
        <w:pStyle w:val="ListParagraph"/>
        <w:numPr>
          <w:ilvl w:val="0"/>
          <w:numId w:val="65"/>
        </w:numPr>
      </w:pPr>
      <w:r w:rsidRPr="00E34E46">
        <w:t>Budget :</w:t>
      </w:r>
    </w:p>
    <w:p w14:paraId="141E402F" w14:textId="77777777" w:rsidR="00975153" w:rsidRPr="00E34E46" w:rsidRDefault="00975153" w:rsidP="00EE59DF">
      <w:pPr>
        <w:pStyle w:val="ListParagraph"/>
        <w:numPr>
          <w:ilvl w:val="0"/>
          <w:numId w:val="65"/>
        </w:numPr>
      </w:pPr>
      <w:r w:rsidRPr="00E34E46">
        <w:t>Type d’achat :</w:t>
      </w:r>
    </w:p>
    <w:p w14:paraId="1659C813" w14:textId="77777777" w:rsidR="00A62D43" w:rsidRPr="00E34E46" w:rsidRDefault="00975153" w:rsidP="00EE59DF">
      <w:pPr>
        <w:pStyle w:val="ListParagraph"/>
        <w:numPr>
          <w:ilvl w:val="0"/>
          <w:numId w:val="65"/>
        </w:numPr>
      </w:pPr>
      <w:r w:rsidRPr="00E34E46">
        <w:t>Nombre de fournisseurs ayant répondu à l’invitation à soumissionner ou à la DP :</w:t>
      </w:r>
    </w:p>
    <w:p w14:paraId="56F6E214" w14:textId="54D3D9AC" w:rsidR="009425D8" w:rsidRPr="00E34E46" w:rsidRDefault="009425D8" w:rsidP="00084836">
      <w:pPr>
        <w:pStyle w:val="Caption"/>
      </w:pPr>
      <w:bookmarkStart w:id="243" w:name="_Toc224836034"/>
      <w:r w:rsidRPr="00883706">
        <w:rPr>
          <w:b/>
          <w:bCs/>
          <w:i w:val="0"/>
          <w:iCs w:val="0"/>
        </w:rPr>
        <w:lastRenderedPageBreak/>
        <w:t xml:space="preserve">Tableau </w:t>
      </w:r>
      <w:r w:rsidRPr="00883706">
        <w:rPr>
          <w:b/>
          <w:bCs/>
          <w:i w:val="0"/>
          <w:iCs w:val="0"/>
        </w:rPr>
        <w:fldChar w:fldCharType="begin"/>
      </w:r>
      <w:r w:rsidRPr="00883706">
        <w:rPr>
          <w:b/>
          <w:bCs/>
          <w:i w:val="0"/>
          <w:iCs w:val="0"/>
        </w:rPr>
        <w:instrText xml:space="preserve"> SEQ Tableau \* ARABIC </w:instrText>
      </w:r>
      <w:r w:rsidRPr="00883706">
        <w:rPr>
          <w:b/>
          <w:bCs/>
          <w:i w:val="0"/>
          <w:iCs w:val="0"/>
        </w:rPr>
        <w:fldChar w:fldCharType="separate"/>
      </w:r>
      <w:r w:rsidRPr="00883706">
        <w:rPr>
          <w:b/>
          <w:bCs/>
          <w:i w:val="0"/>
          <w:iCs w:val="0"/>
          <w:noProof/>
        </w:rPr>
        <w:t>1</w:t>
      </w:r>
      <w:r w:rsidRPr="00883706">
        <w:rPr>
          <w:b/>
          <w:bCs/>
          <w:i w:val="0"/>
          <w:iCs w:val="0"/>
          <w:noProof/>
        </w:rPr>
        <w:fldChar w:fldCharType="end"/>
      </w:r>
      <w:r w:rsidRPr="00E34E46">
        <w:t xml:space="preserve"> </w:t>
      </w:r>
      <w:r w:rsidR="00883706">
        <w:br/>
      </w:r>
      <w:r w:rsidRPr="00E34E46">
        <w:t>Tableau d’évaluation de l’approvisionnement</w:t>
      </w:r>
      <w:bookmarkEnd w:id="243"/>
    </w:p>
    <w:tbl>
      <w:tblPr>
        <w:tblStyle w:val="GridTable1Light1"/>
        <w:tblW w:w="10458" w:type="dxa"/>
        <w:tblLayout w:type="fixed"/>
        <w:tblLook w:val="04A0" w:firstRow="1" w:lastRow="0" w:firstColumn="1" w:lastColumn="0" w:noHBand="0" w:noVBand="1"/>
      </w:tblPr>
      <w:tblGrid>
        <w:gridCol w:w="630"/>
        <w:gridCol w:w="2340"/>
        <w:gridCol w:w="2880"/>
        <w:gridCol w:w="1278"/>
        <w:gridCol w:w="810"/>
        <w:gridCol w:w="720"/>
        <w:gridCol w:w="1800"/>
      </w:tblGrid>
      <w:tr w:rsidR="0060475E" w:rsidRPr="00E34E46" w14:paraId="2D720AAC" w14:textId="77777777" w:rsidTr="003D3F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0" w:type="dxa"/>
            <w:shd w:val="clear" w:color="auto" w:fill="000000" w:themeFill="text1"/>
            <w:noWrap/>
            <w:hideMark/>
          </w:tcPr>
          <w:p w14:paraId="366086C8"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IRC n</w:t>
            </w:r>
            <w:r w:rsidRPr="00E34E46">
              <w:rPr>
                <w:rFonts w:asciiTheme="minorHAnsi" w:hAnsiTheme="minorHAnsi"/>
                <w:sz w:val="22"/>
                <w:vertAlign w:val="superscript"/>
              </w:rPr>
              <w:t>o</w:t>
            </w:r>
          </w:p>
        </w:tc>
        <w:tc>
          <w:tcPr>
            <w:tcW w:w="2340" w:type="dxa"/>
            <w:shd w:val="clear" w:color="auto" w:fill="000000" w:themeFill="text1"/>
            <w:noWrap/>
            <w:hideMark/>
          </w:tcPr>
          <w:p w14:paraId="301F836B" w14:textId="77777777" w:rsidR="0060475E" w:rsidRPr="00E34E46" w:rsidRDefault="0060475E" w:rsidP="0060475E">
            <w:pPr>
              <w:spacing w:before="0" w:after="0" w:line="240" w:lineRule="auto"/>
              <w:ind w:firstLine="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Indicateur de rendement clé</w:t>
            </w:r>
          </w:p>
        </w:tc>
        <w:tc>
          <w:tcPr>
            <w:tcW w:w="2880" w:type="dxa"/>
            <w:shd w:val="clear" w:color="auto" w:fill="000000" w:themeFill="text1"/>
            <w:noWrap/>
            <w:hideMark/>
          </w:tcPr>
          <w:p w14:paraId="440174C4" w14:textId="77777777" w:rsidR="0060475E" w:rsidRPr="00E34E46" w:rsidRDefault="0060475E" w:rsidP="0060475E">
            <w:pPr>
              <w:spacing w:before="0" w:after="0" w:line="240" w:lineRule="auto"/>
              <w:ind w:firstLine="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Description</w:t>
            </w:r>
          </w:p>
        </w:tc>
        <w:tc>
          <w:tcPr>
            <w:tcW w:w="1278" w:type="dxa"/>
            <w:shd w:val="clear" w:color="auto" w:fill="000000" w:themeFill="text1"/>
            <w:noWrap/>
            <w:hideMark/>
          </w:tcPr>
          <w:p w14:paraId="06E95554" w14:textId="77777777" w:rsidR="0060475E" w:rsidRPr="00E34E46" w:rsidRDefault="0060475E" w:rsidP="0060475E">
            <w:pPr>
              <w:spacing w:before="0" w:after="0" w:line="240" w:lineRule="auto"/>
              <w:ind w:firstLine="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Catégorie</w:t>
            </w:r>
          </w:p>
        </w:tc>
        <w:tc>
          <w:tcPr>
            <w:tcW w:w="810" w:type="dxa"/>
            <w:shd w:val="clear" w:color="auto" w:fill="000000" w:themeFill="text1"/>
            <w:noWrap/>
            <w:hideMark/>
          </w:tcPr>
          <w:p w14:paraId="407B2DFD" w14:textId="77777777" w:rsidR="0060475E" w:rsidRPr="00E34E46" w:rsidRDefault="0060475E" w:rsidP="0060475E">
            <w:pPr>
              <w:spacing w:before="0" w:after="0" w:line="240" w:lineRule="auto"/>
              <w:ind w:firstLine="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Note brute</w:t>
            </w:r>
          </w:p>
        </w:tc>
        <w:tc>
          <w:tcPr>
            <w:tcW w:w="720" w:type="dxa"/>
            <w:shd w:val="clear" w:color="auto" w:fill="000000" w:themeFill="text1"/>
            <w:noWrap/>
            <w:hideMark/>
          </w:tcPr>
          <w:p w14:paraId="50A01EC6" w14:textId="77777777" w:rsidR="0060475E" w:rsidRPr="00E34E46" w:rsidRDefault="0060475E" w:rsidP="0060475E">
            <w:pPr>
              <w:spacing w:before="0" w:after="0" w:line="240" w:lineRule="auto"/>
              <w:ind w:firstLine="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Note totale</w:t>
            </w:r>
          </w:p>
        </w:tc>
        <w:tc>
          <w:tcPr>
            <w:tcW w:w="1800" w:type="dxa"/>
            <w:shd w:val="clear" w:color="auto" w:fill="000000" w:themeFill="text1"/>
            <w:noWrap/>
            <w:hideMark/>
          </w:tcPr>
          <w:p w14:paraId="29C95FEF" w14:textId="77777777" w:rsidR="0060475E" w:rsidRPr="00E34E46" w:rsidRDefault="0060475E" w:rsidP="0060475E">
            <w:pPr>
              <w:spacing w:before="0" w:after="0" w:line="240" w:lineRule="auto"/>
              <w:ind w:firstLine="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sz w:val="22"/>
                <w:szCs w:val="22"/>
              </w:rPr>
            </w:pPr>
            <w:r w:rsidRPr="00E34E46">
              <w:rPr>
                <w:rFonts w:asciiTheme="minorHAnsi" w:hAnsiTheme="minorHAnsi"/>
                <w:color w:val="FFFFFF" w:themeColor="background1"/>
                <w:sz w:val="22"/>
              </w:rPr>
              <w:t>Commentaires</w:t>
            </w:r>
          </w:p>
        </w:tc>
      </w:tr>
      <w:tr w:rsidR="0060475E" w:rsidRPr="00E34E46" w14:paraId="5E03B8C0"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0B1040D4"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1</w:t>
            </w:r>
          </w:p>
        </w:tc>
        <w:tc>
          <w:tcPr>
            <w:tcW w:w="2340" w:type="dxa"/>
            <w:noWrap/>
            <w:hideMark/>
          </w:tcPr>
          <w:p w14:paraId="0993BE6A"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Concurrence sur le marché</w:t>
            </w:r>
          </w:p>
        </w:tc>
        <w:tc>
          <w:tcPr>
            <w:tcW w:w="2880" w:type="dxa"/>
            <w:noWrap/>
            <w:hideMark/>
          </w:tcPr>
          <w:p w14:paraId="03FCA13C"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À quel point croyons-nous recevoir la valeur marchande en fonction des frais payés?</w:t>
            </w:r>
          </w:p>
        </w:tc>
        <w:tc>
          <w:tcPr>
            <w:tcW w:w="1278" w:type="dxa"/>
            <w:hideMark/>
          </w:tcPr>
          <w:p w14:paraId="0DC21B2B"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Coût</w:t>
            </w:r>
          </w:p>
        </w:tc>
        <w:tc>
          <w:tcPr>
            <w:tcW w:w="810" w:type="dxa"/>
            <w:noWrap/>
            <w:hideMark/>
          </w:tcPr>
          <w:p w14:paraId="6A990614"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0B8B15B8"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71CCEF42"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695D208F"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4FD38EAB"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2</w:t>
            </w:r>
          </w:p>
        </w:tc>
        <w:tc>
          <w:tcPr>
            <w:tcW w:w="2340" w:type="dxa"/>
            <w:noWrap/>
            <w:hideMark/>
          </w:tcPr>
          <w:p w14:paraId="021505B3"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Transparence dans les négociations</w:t>
            </w:r>
          </w:p>
        </w:tc>
        <w:tc>
          <w:tcPr>
            <w:tcW w:w="2880" w:type="dxa"/>
            <w:noWrap/>
            <w:hideMark/>
          </w:tcPr>
          <w:p w14:paraId="7B8853C1"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Le degré de transparence du fournisseur quant à ses modèles de coûts et de prix.</w:t>
            </w:r>
          </w:p>
        </w:tc>
        <w:tc>
          <w:tcPr>
            <w:tcW w:w="1278" w:type="dxa"/>
            <w:hideMark/>
          </w:tcPr>
          <w:p w14:paraId="38020801"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Coût</w:t>
            </w:r>
          </w:p>
        </w:tc>
        <w:tc>
          <w:tcPr>
            <w:tcW w:w="810" w:type="dxa"/>
            <w:noWrap/>
            <w:hideMark/>
          </w:tcPr>
          <w:p w14:paraId="40F9E6B4"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4E146726"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7FC5FBE3"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3C2AA486"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34B6F9C6"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3</w:t>
            </w:r>
          </w:p>
        </w:tc>
        <w:tc>
          <w:tcPr>
            <w:tcW w:w="2340" w:type="dxa"/>
            <w:noWrap/>
            <w:hideMark/>
          </w:tcPr>
          <w:p w14:paraId="6A98E304"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Détermination proactive des économies</w:t>
            </w:r>
          </w:p>
        </w:tc>
        <w:tc>
          <w:tcPr>
            <w:tcW w:w="2880" w:type="dxa"/>
            <w:noWrap/>
            <w:hideMark/>
          </w:tcPr>
          <w:p w14:paraId="0649F23D"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Le fournisseur détermine de manière proactive les possibilités d’économies visant à réduire les coûts; par exemple, la gestion de l’utilisation et les améliorations de l’efficacité opérationnelle.</w:t>
            </w:r>
          </w:p>
        </w:tc>
        <w:tc>
          <w:tcPr>
            <w:tcW w:w="1278" w:type="dxa"/>
            <w:hideMark/>
          </w:tcPr>
          <w:p w14:paraId="5DDEC335"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Coût</w:t>
            </w:r>
          </w:p>
        </w:tc>
        <w:tc>
          <w:tcPr>
            <w:tcW w:w="810" w:type="dxa"/>
            <w:noWrap/>
            <w:hideMark/>
          </w:tcPr>
          <w:p w14:paraId="45F3B92C"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32139C8F"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3569F00B"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6420C86D"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4AF669F1"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4</w:t>
            </w:r>
          </w:p>
        </w:tc>
        <w:tc>
          <w:tcPr>
            <w:tcW w:w="2340" w:type="dxa"/>
            <w:noWrap/>
            <w:hideMark/>
          </w:tcPr>
          <w:p w14:paraId="6A4B2468"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Conformité aux lois et aux normes en vigueur</w:t>
            </w:r>
          </w:p>
        </w:tc>
        <w:tc>
          <w:tcPr>
            <w:tcW w:w="2880" w:type="dxa"/>
            <w:noWrap/>
            <w:hideMark/>
          </w:tcPr>
          <w:p w14:paraId="5FC08C29"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Le degré de conformité avec les lois et les normes d’accessibilité.</w:t>
            </w:r>
          </w:p>
        </w:tc>
        <w:tc>
          <w:tcPr>
            <w:tcW w:w="1278" w:type="dxa"/>
            <w:hideMark/>
          </w:tcPr>
          <w:p w14:paraId="78CDEDB0"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Conformité juridique</w:t>
            </w:r>
          </w:p>
        </w:tc>
        <w:tc>
          <w:tcPr>
            <w:tcW w:w="810" w:type="dxa"/>
            <w:noWrap/>
            <w:hideMark/>
          </w:tcPr>
          <w:p w14:paraId="0F246F41"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03CCBCE6"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60778471"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752B0C8C"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58B5F495"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5</w:t>
            </w:r>
          </w:p>
        </w:tc>
        <w:tc>
          <w:tcPr>
            <w:tcW w:w="2340" w:type="dxa"/>
            <w:noWrap/>
            <w:hideMark/>
          </w:tcPr>
          <w:p w14:paraId="5774E30D"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Documents sur l’accessibilité fournis</w:t>
            </w:r>
          </w:p>
        </w:tc>
        <w:tc>
          <w:tcPr>
            <w:tcW w:w="2880" w:type="dxa"/>
            <w:noWrap/>
            <w:hideMark/>
          </w:tcPr>
          <w:p w14:paraId="3A374B48"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Connaissance des documents à l’appui (ACR et VPAT).</w:t>
            </w:r>
          </w:p>
        </w:tc>
        <w:tc>
          <w:tcPr>
            <w:tcW w:w="1278" w:type="dxa"/>
            <w:hideMark/>
          </w:tcPr>
          <w:p w14:paraId="764FCFA9"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Documentation</w:t>
            </w:r>
          </w:p>
        </w:tc>
        <w:tc>
          <w:tcPr>
            <w:tcW w:w="810" w:type="dxa"/>
            <w:noWrap/>
            <w:hideMark/>
          </w:tcPr>
          <w:p w14:paraId="6EDE83AC"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696E524C"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48580E57"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2A15CBED"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0F8D5B1C"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6</w:t>
            </w:r>
          </w:p>
        </w:tc>
        <w:tc>
          <w:tcPr>
            <w:tcW w:w="2340" w:type="dxa"/>
            <w:noWrap/>
            <w:hideMark/>
          </w:tcPr>
          <w:p w14:paraId="3CED0B94"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Accessibilité des documents fournis</w:t>
            </w:r>
          </w:p>
        </w:tc>
        <w:tc>
          <w:tcPr>
            <w:tcW w:w="2880" w:type="dxa"/>
            <w:noWrap/>
            <w:hideMark/>
          </w:tcPr>
          <w:p w14:paraId="6CE1EE67"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Degré d’accessibilité des documents, des communications et des présentations produits.</w:t>
            </w:r>
          </w:p>
        </w:tc>
        <w:tc>
          <w:tcPr>
            <w:tcW w:w="1278" w:type="dxa"/>
            <w:hideMark/>
          </w:tcPr>
          <w:p w14:paraId="3283C3C1"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Documentation</w:t>
            </w:r>
          </w:p>
        </w:tc>
        <w:tc>
          <w:tcPr>
            <w:tcW w:w="810" w:type="dxa"/>
            <w:noWrap/>
            <w:hideMark/>
          </w:tcPr>
          <w:p w14:paraId="03F990F8"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183B2302"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2FBABDF2"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4E984B98"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213D02DD"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7</w:t>
            </w:r>
          </w:p>
        </w:tc>
        <w:tc>
          <w:tcPr>
            <w:tcW w:w="2340" w:type="dxa"/>
            <w:noWrap/>
            <w:hideMark/>
          </w:tcPr>
          <w:p w14:paraId="3CA3A1DE"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Problèmes techniques qui nuisent à l’accessibilité</w:t>
            </w:r>
          </w:p>
        </w:tc>
        <w:tc>
          <w:tcPr>
            <w:tcW w:w="2880" w:type="dxa"/>
            <w:noWrap/>
            <w:hideMark/>
          </w:tcPr>
          <w:p w14:paraId="6C85835C"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Nombre de problèmes soulevés pendant les tests pour lesquels aucune correction n’a été apportée.</w:t>
            </w:r>
          </w:p>
        </w:tc>
        <w:tc>
          <w:tcPr>
            <w:tcW w:w="1278" w:type="dxa"/>
            <w:hideMark/>
          </w:tcPr>
          <w:p w14:paraId="590D45B9"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Tests techniques</w:t>
            </w:r>
          </w:p>
        </w:tc>
        <w:tc>
          <w:tcPr>
            <w:tcW w:w="810" w:type="dxa"/>
            <w:noWrap/>
            <w:hideMark/>
          </w:tcPr>
          <w:p w14:paraId="6D38BA39"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344D0BC0"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0AC8A616"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31474888"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4398E980"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8</w:t>
            </w:r>
          </w:p>
        </w:tc>
        <w:tc>
          <w:tcPr>
            <w:tcW w:w="2340" w:type="dxa"/>
            <w:noWrap/>
            <w:hideMark/>
          </w:tcPr>
          <w:p w14:paraId="5C42A0D3"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Bac à sable créé</w:t>
            </w:r>
          </w:p>
        </w:tc>
        <w:tc>
          <w:tcPr>
            <w:tcW w:w="2880" w:type="dxa"/>
            <w:noWrap/>
            <w:hideMark/>
          </w:tcPr>
          <w:p w14:paraId="0320A9E1"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Un environnement de bac à sable a-t-il été fourni?</w:t>
            </w:r>
          </w:p>
        </w:tc>
        <w:tc>
          <w:tcPr>
            <w:tcW w:w="1278" w:type="dxa"/>
            <w:hideMark/>
          </w:tcPr>
          <w:p w14:paraId="1721CD72"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Tests d’accessib</w:t>
            </w:r>
            <w:r w:rsidRPr="00E34E46">
              <w:rPr>
                <w:rFonts w:asciiTheme="minorHAnsi" w:hAnsiTheme="minorHAnsi"/>
                <w:sz w:val="22"/>
              </w:rPr>
              <w:lastRenderedPageBreak/>
              <w:t>ilité</w:t>
            </w:r>
          </w:p>
        </w:tc>
        <w:tc>
          <w:tcPr>
            <w:tcW w:w="810" w:type="dxa"/>
            <w:noWrap/>
            <w:hideMark/>
          </w:tcPr>
          <w:p w14:paraId="06D34472"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71F56C1A"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6F412577"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78BC5EDC"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16B65E74"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9</w:t>
            </w:r>
          </w:p>
        </w:tc>
        <w:tc>
          <w:tcPr>
            <w:tcW w:w="2340" w:type="dxa"/>
            <w:noWrap/>
            <w:hideMark/>
          </w:tcPr>
          <w:p w14:paraId="6D5241D5"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Suffisamment de temps pour les tests internes</w:t>
            </w:r>
          </w:p>
        </w:tc>
        <w:tc>
          <w:tcPr>
            <w:tcW w:w="2880" w:type="dxa"/>
            <w:noWrap/>
            <w:hideMark/>
          </w:tcPr>
          <w:p w14:paraId="07B48357"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Le temps octroyé pour tester la plateforme était-il suffisant?</w:t>
            </w:r>
          </w:p>
        </w:tc>
        <w:tc>
          <w:tcPr>
            <w:tcW w:w="1278" w:type="dxa"/>
            <w:hideMark/>
          </w:tcPr>
          <w:p w14:paraId="331F56EE"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Tests d’accessibilité</w:t>
            </w:r>
          </w:p>
        </w:tc>
        <w:tc>
          <w:tcPr>
            <w:tcW w:w="810" w:type="dxa"/>
            <w:noWrap/>
            <w:hideMark/>
          </w:tcPr>
          <w:p w14:paraId="5456B663"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1D9FCA36"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161D2FB8"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169ED0F1"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6D9026E3"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10</w:t>
            </w:r>
          </w:p>
        </w:tc>
        <w:tc>
          <w:tcPr>
            <w:tcW w:w="2340" w:type="dxa"/>
            <w:noWrap/>
            <w:hideMark/>
          </w:tcPr>
          <w:p w14:paraId="4E30D42A"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Le fournisseur embauche / emploie des personnes en situation de handicap pour l’équipe d’approvisionnement.</w:t>
            </w:r>
          </w:p>
        </w:tc>
        <w:tc>
          <w:tcPr>
            <w:tcW w:w="2880" w:type="dxa"/>
            <w:noWrap/>
            <w:hideMark/>
          </w:tcPr>
          <w:p w14:paraId="42483948"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Le degré d’inclusion, par le recrutement, des personnes en situation de handicap dans les équipes d’approvisionnement des fournisseurs.</w:t>
            </w:r>
          </w:p>
        </w:tc>
        <w:tc>
          <w:tcPr>
            <w:tcW w:w="1278" w:type="dxa"/>
            <w:hideMark/>
          </w:tcPr>
          <w:p w14:paraId="67CA59D1"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Diversité des fournisseurs</w:t>
            </w:r>
          </w:p>
        </w:tc>
        <w:tc>
          <w:tcPr>
            <w:tcW w:w="810" w:type="dxa"/>
            <w:noWrap/>
            <w:hideMark/>
          </w:tcPr>
          <w:p w14:paraId="58E49EE3"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55B03CE3"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651CA2CF"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00DAC498"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65C27D0C"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11</w:t>
            </w:r>
          </w:p>
        </w:tc>
        <w:tc>
          <w:tcPr>
            <w:tcW w:w="2340" w:type="dxa"/>
            <w:noWrap/>
            <w:hideMark/>
          </w:tcPr>
          <w:p w14:paraId="71442AD8"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Les fournisseurs qui soumettent des offres et qui répondent à des appels d’offres sont certifiés comme étant dirigés par une ou des personnes en situation de handicap.</w:t>
            </w:r>
          </w:p>
        </w:tc>
        <w:tc>
          <w:tcPr>
            <w:tcW w:w="2880" w:type="dxa"/>
            <w:noWrap/>
            <w:hideMark/>
          </w:tcPr>
          <w:p w14:paraId="5F2C997A"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Le fournisseur est-il certifié ou vérifié comme étant à la tête d’une entreprise dirigée par une personne en situation de handicap?</w:t>
            </w:r>
          </w:p>
        </w:tc>
        <w:tc>
          <w:tcPr>
            <w:tcW w:w="1278" w:type="dxa"/>
            <w:hideMark/>
          </w:tcPr>
          <w:p w14:paraId="4D08C4A5"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Diversité des fournisseurs</w:t>
            </w:r>
          </w:p>
        </w:tc>
        <w:tc>
          <w:tcPr>
            <w:tcW w:w="810" w:type="dxa"/>
            <w:noWrap/>
            <w:hideMark/>
          </w:tcPr>
          <w:p w14:paraId="646CDA49"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3EFF1563"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5AE43BE6"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44F5957A"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63B4AD1F"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12</w:t>
            </w:r>
          </w:p>
        </w:tc>
        <w:tc>
          <w:tcPr>
            <w:tcW w:w="2340" w:type="dxa"/>
            <w:noWrap/>
            <w:hideMark/>
          </w:tcPr>
          <w:p w14:paraId="2562570E"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Le degré de sensibilisation et de compréhension des exigences relatives à l’accessibilité chez les fournisseurs.</w:t>
            </w:r>
          </w:p>
        </w:tc>
        <w:tc>
          <w:tcPr>
            <w:tcW w:w="2880" w:type="dxa"/>
            <w:noWrap/>
            <w:hideMark/>
          </w:tcPr>
          <w:p w14:paraId="48B27C64"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Le fournisseur démontre sa connaissance des normes d’accessibilité et des pratiques exemplaires par sa conformité aux directives relatives à l’accessibilité, par sa participation à des formations sur l’accessibilité ou par l’inclusion de fonctionnalités accessibles dans ses produits et ses services.</w:t>
            </w:r>
          </w:p>
        </w:tc>
        <w:tc>
          <w:tcPr>
            <w:tcW w:w="1278" w:type="dxa"/>
            <w:hideMark/>
          </w:tcPr>
          <w:p w14:paraId="025AED09"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Compréhension de l’accessibilité par le fournisseur</w:t>
            </w:r>
          </w:p>
        </w:tc>
        <w:tc>
          <w:tcPr>
            <w:tcW w:w="810" w:type="dxa"/>
            <w:noWrap/>
            <w:hideMark/>
          </w:tcPr>
          <w:p w14:paraId="75442A8A"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5320D9C9"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2E4FC2EC"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7369DBAF"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1C743693"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13</w:t>
            </w:r>
          </w:p>
        </w:tc>
        <w:tc>
          <w:tcPr>
            <w:tcW w:w="2340" w:type="dxa"/>
            <w:noWrap/>
            <w:hideMark/>
          </w:tcPr>
          <w:p w14:paraId="315E634B"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L’engagement des fournisseurs envers les principes et les pratiques d’accessibilité.</w:t>
            </w:r>
          </w:p>
        </w:tc>
        <w:tc>
          <w:tcPr>
            <w:tcW w:w="2880" w:type="dxa"/>
            <w:noWrap/>
            <w:hideMark/>
          </w:tcPr>
          <w:p w14:paraId="0D140F70"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 xml:space="preserve">Le fournisseur est pleinement engagé envers l’accessibilité, a obtenu des certifications en la matière et participe régulièrement à </w:t>
            </w:r>
            <w:r w:rsidRPr="00E34E46">
              <w:rPr>
                <w:rFonts w:asciiTheme="minorHAnsi" w:hAnsiTheme="minorHAnsi"/>
                <w:sz w:val="22"/>
              </w:rPr>
              <w:lastRenderedPageBreak/>
              <w:t xml:space="preserve">des audits d’accessibilité. </w:t>
            </w:r>
          </w:p>
        </w:tc>
        <w:tc>
          <w:tcPr>
            <w:tcW w:w="1278" w:type="dxa"/>
            <w:hideMark/>
          </w:tcPr>
          <w:p w14:paraId="55A0F156"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lastRenderedPageBreak/>
              <w:t>Engagement du fournisseur envers l’accessibil</w:t>
            </w:r>
            <w:r w:rsidRPr="00E34E46">
              <w:rPr>
                <w:rFonts w:asciiTheme="minorHAnsi" w:hAnsiTheme="minorHAnsi"/>
                <w:sz w:val="22"/>
              </w:rPr>
              <w:lastRenderedPageBreak/>
              <w:t>ité</w:t>
            </w:r>
          </w:p>
        </w:tc>
        <w:tc>
          <w:tcPr>
            <w:tcW w:w="810" w:type="dxa"/>
            <w:noWrap/>
            <w:hideMark/>
          </w:tcPr>
          <w:p w14:paraId="1A574C2F"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221255AF"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346DCD4D"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41AFEEF1"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3F1DCB2D"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14</w:t>
            </w:r>
          </w:p>
        </w:tc>
        <w:tc>
          <w:tcPr>
            <w:tcW w:w="2340" w:type="dxa"/>
            <w:noWrap/>
            <w:hideMark/>
          </w:tcPr>
          <w:p w14:paraId="750847E6"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L’efficacité et la rapidité du fournisseur à soumettre les rapports de conformité requis.</w:t>
            </w:r>
          </w:p>
        </w:tc>
        <w:tc>
          <w:tcPr>
            <w:tcW w:w="2880" w:type="dxa"/>
            <w:noWrap/>
            <w:hideMark/>
          </w:tcPr>
          <w:p w14:paraId="59BB387E"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Le fournisseur dépose des rapports précis, complets et ponctuels sur son respect des réglementations, des normes et des obligations contractuelles pertinentes, notamment des rapports sur les pratiques de travail, l’impact environnemental, l’accessibilité et d’autres domaines de conformité.</w:t>
            </w:r>
          </w:p>
        </w:tc>
        <w:tc>
          <w:tcPr>
            <w:tcW w:w="1278" w:type="dxa"/>
            <w:hideMark/>
          </w:tcPr>
          <w:p w14:paraId="7E731003"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Rapports de conformité</w:t>
            </w:r>
          </w:p>
        </w:tc>
        <w:tc>
          <w:tcPr>
            <w:tcW w:w="810" w:type="dxa"/>
            <w:noWrap/>
            <w:hideMark/>
          </w:tcPr>
          <w:p w14:paraId="1F3A45EB"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1999018B"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1DDCFBAD"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5E87FE4E"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156E7E40"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15</w:t>
            </w:r>
          </w:p>
        </w:tc>
        <w:tc>
          <w:tcPr>
            <w:tcW w:w="2340" w:type="dxa"/>
            <w:noWrap/>
            <w:hideMark/>
          </w:tcPr>
          <w:p w14:paraId="4AEE29E7"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Mesures prises pour l’exécution</w:t>
            </w:r>
          </w:p>
        </w:tc>
        <w:tc>
          <w:tcPr>
            <w:tcW w:w="2880" w:type="dxa"/>
            <w:noWrap/>
            <w:hideMark/>
          </w:tcPr>
          <w:p w14:paraId="2DCA55CA"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À quel point les objectifs de livraison sont-ils atteints (le temps de livraison, de réponse, d’exécution ou de résolution, la disponibilité, etc.)?</w:t>
            </w:r>
          </w:p>
        </w:tc>
        <w:tc>
          <w:tcPr>
            <w:tcW w:w="1278" w:type="dxa"/>
            <w:hideMark/>
          </w:tcPr>
          <w:p w14:paraId="4649FC2D"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Exécution</w:t>
            </w:r>
          </w:p>
        </w:tc>
        <w:tc>
          <w:tcPr>
            <w:tcW w:w="810" w:type="dxa"/>
            <w:noWrap/>
            <w:hideMark/>
          </w:tcPr>
          <w:p w14:paraId="1F5C235D"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2CC57889"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2EADD9C4"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68135FCC"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2233E8D4"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16</w:t>
            </w:r>
          </w:p>
        </w:tc>
        <w:tc>
          <w:tcPr>
            <w:tcW w:w="2340" w:type="dxa"/>
            <w:noWrap/>
            <w:hideMark/>
          </w:tcPr>
          <w:p w14:paraId="3C77D579"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Facturation rapide, accessible et exacte</w:t>
            </w:r>
          </w:p>
        </w:tc>
        <w:tc>
          <w:tcPr>
            <w:tcW w:w="2880" w:type="dxa"/>
            <w:noWrap/>
            <w:hideMark/>
          </w:tcPr>
          <w:p w14:paraId="5C454F3C"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Le degré auquel le fournisseur fournit des factures complètes et exactes au moment convenable.</w:t>
            </w:r>
          </w:p>
        </w:tc>
        <w:tc>
          <w:tcPr>
            <w:tcW w:w="1278" w:type="dxa"/>
            <w:hideMark/>
          </w:tcPr>
          <w:p w14:paraId="69FD8730"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Exécution</w:t>
            </w:r>
          </w:p>
        </w:tc>
        <w:tc>
          <w:tcPr>
            <w:tcW w:w="810" w:type="dxa"/>
            <w:noWrap/>
            <w:hideMark/>
          </w:tcPr>
          <w:p w14:paraId="3E3826D6"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0B36B6E3"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4D12DF75"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187D53BB"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4A4EFC36"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17</w:t>
            </w:r>
          </w:p>
        </w:tc>
        <w:tc>
          <w:tcPr>
            <w:tcW w:w="2340" w:type="dxa"/>
            <w:noWrap/>
            <w:hideMark/>
          </w:tcPr>
          <w:p w14:paraId="532E7B0F"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Nouvelle demande / demande de modification</w:t>
            </w:r>
          </w:p>
        </w:tc>
        <w:tc>
          <w:tcPr>
            <w:tcW w:w="2880" w:type="dxa"/>
            <w:noWrap/>
            <w:hideMark/>
          </w:tcPr>
          <w:p w14:paraId="3933C751"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Facilité et rapidité d’exécution des nouvelles demandes ou des demandes de modifications de produits ou de services existants.</w:t>
            </w:r>
          </w:p>
        </w:tc>
        <w:tc>
          <w:tcPr>
            <w:tcW w:w="1278" w:type="dxa"/>
            <w:hideMark/>
          </w:tcPr>
          <w:p w14:paraId="1272323D"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Exécution</w:t>
            </w:r>
          </w:p>
        </w:tc>
        <w:tc>
          <w:tcPr>
            <w:tcW w:w="810" w:type="dxa"/>
            <w:noWrap/>
            <w:hideMark/>
          </w:tcPr>
          <w:p w14:paraId="41FE1066"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4AC7E269"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7145A950"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5A1C7955"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1B01F58B"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18</w:t>
            </w:r>
          </w:p>
        </w:tc>
        <w:tc>
          <w:tcPr>
            <w:tcW w:w="2340" w:type="dxa"/>
            <w:noWrap/>
            <w:hideMark/>
          </w:tcPr>
          <w:p w14:paraId="35358959"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Efficacité des solutions</w:t>
            </w:r>
          </w:p>
        </w:tc>
        <w:tc>
          <w:tcPr>
            <w:tcW w:w="2880" w:type="dxa"/>
            <w:noWrap/>
            <w:hideMark/>
          </w:tcPr>
          <w:p w14:paraId="61E2E97B"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Facilité et rapidité d’exécution des nouvelles demandes ou des demandes de modifications de produits ou de services existants.</w:t>
            </w:r>
          </w:p>
        </w:tc>
        <w:tc>
          <w:tcPr>
            <w:tcW w:w="1278" w:type="dxa"/>
            <w:hideMark/>
          </w:tcPr>
          <w:p w14:paraId="5923FED4"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Technologie</w:t>
            </w:r>
          </w:p>
        </w:tc>
        <w:tc>
          <w:tcPr>
            <w:tcW w:w="810" w:type="dxa"/>
            <w:noWrap/>
            <w:hideMark/>
          </w:tcPr>
          <w:p w14:paraId="54F4017A"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2FE985D4"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2CBFEE0F"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174E4F34"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1167A173"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lastRenderedPageBreak/>
              <w:t>19</w:t>
            </w:r>
          </w:p>
        </w:tc>
        <w:tc>
          <w:tcPr>
            <w:tcW w:w="2340" w:type="dxa"/>
            <w:noWrap/>
            <w:hideMark/>
          </w:tcPr>
          <w:p w14:paraId="4FA97E03"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Fourniture de solutions innovantes</w:t>
            </w:r>
          </w:p>
        </w:tc>
        <w:tc>
          <w:tcPr>
            <w:tcW w:w="2880" w:type="dxa"/>
            <w:noWrap/>
            <w:hideMark/>
          </w:tcPr>
          <w:p w14:paraId="34540CA3"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Le fournisseur utilise des solutions innovantes pour améliorer en permanence les services ou les produits.</w:t>
            </w:r>
          </w:p>
        </w:tc>
        <w:tc>
          <w:tcPr>
            <w:tcW w:w="1278" w:type="dxa"/>
            <w:hideMark/>
          </w:tcPr>
          <w:p w14:paraId="17759100"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Technologie</w:t>
            </w:r>
          </w:p>
        </w:tc>
        <w:tc>
          <w:tcPr>
            <w:tcW w:w="810" w:type="dxa"/>
            <w:noWrap/>
            <w:hideMark/>
          </w:tcPr>
          <w:p w14:paraId="144860EE"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37BB3938"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248EDA02"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25179AE4"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32413484"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rPr>
            </w:pPr>
            <w:r w:rsidRPr="00E34E46">
              <w:rPr>
                <w:rFonts w:asciiTheme="minorHAnsi" w:hAnsiTheme="minorHAnsi"/>
                <w:sz w:val="22"/>
              </w:rPr>
              <w:t>20</w:t>
            </w:r>
          </w:p>
        </w:tc>
        <w:tc>
          <w:tcPr>
            <w:tcW w:w="2340" w:type="dxa"/>
            <w:noWrap/>
            <w:hideMark/>
          </w:tcPr>
          <w:p w14:paraId="0A886F64"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Satisfaction générale</w:t>
            </w:r>
          </w:p>
        </w:tc>
        <w:tc>
          <w:tcPr>
            <w:tcW w:w="2880" w:type="dxa"/>
            <w:noWrap/>
            <w:hideMark/>
          </w:tcPr>
          <w:p w14:paraId="2F261516"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Dans l’ensemble, quel est votre niveau de satisfaction concernant les biens ou les services du fournisseur?</w:t>
            </w:r>
          </w:p>
        </w:tc>
        <w:tc>
          <w:tcPr>
            <w:tcW w:w="1278" w:type="dxa"/>
            <w:hideMark/>
          </w:tcPr>
          <w:p w14:paraId="6303CAF3"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Satisfaction de la clientèle</w:t>
            </w:r>
          </w:p>
        </w:tc>
        <w:tc>
          <w:tcPr>
            <w:tcW w:w="810" w:type="dxa"/>
            <w:noWrap/>
            <w:hideMark/>
          </w:tcPr>
          <w:p w14:paraId="238DC3F1"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10A2AB1A"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5</w:t>
            </w:r>
          </w:p>
        </w:tc>
        <w:tc>
          <w:tcPr>
            <w:tcW w:w="1800" w:type="dxa"/>
            <w:noWrap/>
            <w:hideMark/>
          </w:tcPr>
          <w:p w14:paraId="4B8AC0E9"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E34E46" w14:paraId="213A1BF6" w14:textId="77777777" w:rsidTr="003D3FFA">
        <w:tc>
          <w:tcPr>
            <w:cnfStyle w:val="001000000000" w:firstRow="0" w:lastRow="0" w:firstColumn="1" w:lastColumn="0" w:oddVBand="0" w:evenVBand="0" w:oddHBand="0" w:evenHBand="0" w:firstRowFirstColumn="0" w:firstRowLastColumn="0" w:lastRowFirstColumn="0" w:lastRowLastColumn="0"/>
            <w:tcW w:w="630" w:type="dxa"/>
            <w:noWrap/>
            <w:hideMark/>
          </w:tcPr>
          <w:p w14:paraId="159DD40E" w14:textId="77777777" w:rsidR="0060475E" w:rsidRPr="00E34E46"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p>
        </w:tc>
        <w:tc>
          <w:tcPr>
            <w:tcW w:w="2340" w:type="dxa"/>
            <w:noWrap/>
            <w:hideMark/>
          </w:tcPr>
          <w:p w14:paraId="62DCCB8A"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Note pour tous les IRC</w:t>
            </w:r>
          </w:p>
        </w:tc>
        <w:tc>
          <w:tcPr>
            <w:tcW w:w="2880" w:type="dxa"/>
            <w:noWrap/>
            <w:hideMark/>
          </w:tcPr>
          <w:p w14:paraId="4B795EA6"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Note totale</w:t>
            </w:r>
          </w:p>
        </w:tc>
        <w:tc>
          <w:tcPr>
            <w:tcW w:w="1278" w:type="dxa"/>
            <w:hideMark/>
          </w:tcPr>
          <w:p w14:paraId="0A30E744"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Note totale</w:t>
            </w:r>
          </w:p>
        </w:tc>
        <w:tc>
          <w:tcPr>
            <w:tcW w:w="810" w:type="dxa"/>
            <w:noWrap/>
            <w:hideMark/>
          </w:tcPr>
          <w:p w14:paraId="1124D0D5"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720" w:type="dxa"/>
            <w:noWrap/>
            <w:hideMark/>
          </w:tcPr>
          <w:p w14:paraId="4C6C268A"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rPr>
            </w:pPr>
            <w:r w:rsidRPr="00E34E46">
              <w:rPr>
                <w:rFonts w:asciiTheme="minorHAnsi" w:hAnsiTheme="minorHAnsi"/>
                <w:sz w:val="22"/>
              </w:rPr>
              <w:t>100</w:t>
            </w:r>
          </w:p>
        </w:tc>
        <w:tc>
          <w:tcPr>
            <w:tcW w:w="1800" w:type="dxa"/>
            <w:noWrap/>
            <w:hideMark/>
          </w:tcPr>
          <w:p w14:paraId="6C0F4795" w14:textId="77777777" w:rsidR="0060475E" w:rsidRPr="00E34E46"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bl>
    <w:p w14:paraId="50B1C650" w14:textId="77246705" w:rsidR="00975153" w:rsidRPr="00E34E46" w:rsidRDefault="00975153" w:rsidP="00B5663F">
      <w:pPr>
        <w:pStyle w:val="Heading3"/>
      </w:pPr>
      <w:bookmarkStart w:id="244" w:name="_Toc210828609"/>
      <w:r w:rsidRPr="00E34E46">
        <w:t>Note globale :</w:t>
      </w:r>
      <w:bookmarkEnd w:id="244"/>
    </w:p>
    <w:p w14:paraId="4F11D6A9" w14:textId="77777777" w:rsidR="00975153" w:rsidRPr="00E34E46" w:rsidRDefault="00975153" w:rsidP="00B5663F">
      <w:pPr>
        <w:pStyle w:val="Heading3"/>
      </w:pPr>
      <w:bookmarkStart w:id="245" w:name="_Toc210828610"/>
      <w:r w:rsidRPr="00E34E46">
        <w:t>Note de l’organisation pour l’approvisionnement accessible</w:t>
      </w:r>
      <w:bookmarkEnd w:id="245"/>
    </w:p>
    <w:p w14:paraId="7A64E4F0" w14:textId="77777777" w:rsidR="00975153" w:rsidRPr="00E34E46" w:rsidRDefault="00975153" w:rsidP="00C0200D">
      <w:pPr>
        <w:pStyle w:val="ListParagraph"/>
        <w:numPr>
          <w:ilvl w:val="0"/>
          <w:numId w:val="66"/>
        </w:numPr>
      </w:pPr>
      <w:r w:rsidRPr="00E34E46">
        <w:t>Nombre de projets d’approvisionnement réalisés par trimestre :</w:t>
      </w:r>
    </w:p>
    <w:p w14:paraId="0BAFB956" w14:textId="77777777" w:rsidR="00975153" w:rsidRPr="00E34E46" w:rsidRDefault="00975153" w:rsidP="00C0200D">
      <w:pPr>
        <w:pStyle w:val="ListParagraph"/>
        <w:numPr>
          <w:ilvl w:val="0"/>
          <w:numId w:val="66"/>
        </w:numPr>
      </w:pPr>
      <w:r w:rsidRPr="00E34E46">
        <w:t>Nombre de projets d’approvisionnement réalisés cette année :</w:t>
      </w:r>
    </w:p>
    <w:p w14:paraId="6F65CC51" w14:textId="77777777" w:rsidR="00975153" w:rsidRPr="00E34E46" w:rsidRDefault="00975153" w:rsidP="00C0200D">
      <w:pPr>
        <w:pStyle w:val="ListParagraph"/>
        <w:numPr>
          <w:ilvl w:val="0"/>
          <w:numId w:val="66"/>
        </w:numPr>
      </w:pPr>
      <w:r w:rsidRPr="00E34E46">
        <w:t>Note moyenne :</w:t>
      </w:r>
    </w:p>
    <w:p w14:paraId="2F5C227B" w14:textId="77777777" w:rsidR="00975153" w:rsidRPr="00E34E46" w:rsidRDefault="00975153" w:rsidP="00C0200D">
      <w:pPr>
        <w:pStyle w:val="ListParagraph"/>
        <w:numPr>
          <w:ilvl w:val="0"/>
          <w:numId w:val="66"/>
        </w:numPr>
      </w:pPr>
      <w:r w:rsidRPr="00E34E46">
        <w:t>Note médiane :</w:t>
      </w:r>
    </w:p>
    <w:p w14:paraId="7CA3A79D" w14:textId="77777777" w:rsidR="00975153" w:rsidRPr="00E34E46" w:rsidRDefault="00975153" w:rsidP="00C0200D">
      <w:pPr>
        <w:pStyle w:val="ListParagraph"/>
        <w:numPr>
          <w:ilvl w:val="0"/>
          <w:numId w:val="66"/>
        </w:numPr>
      </w:pPr>
      <w:r w:rsidRPr="00E34E46">
        <w:t>Cotes :</w:t>
      </w:r>
    </w:p>
    <w:p w14:paraId="2D62378F" w14:textId="77777777" w:rsidR="00975153" w:rsidRPr="00E34E46" w:rsidRDefault="00975153" w:rsidP="00C0200D">
      <w:pPr>
        <w:pStyle w:val="ListParagraph"/>
        <w:numPr>
          <w:ilvl w:val="0"/>
          <w:numId w:val="66"/>
        </w:numPr>
      </w:pPr>
      <w:r w:rsidRPr="00E34E46">
        <w:t>Nombre de projets d’approvisionnement qui ne remplissent pas les critères d’évaluation de l’approvisionnement :</w:t>
      </w:r>
    </w:p>
    <w:p w14:paraId="2BFA36CD" w14:textId="77777777" w:rsidR="00975153" w:rsidRPr="00E34E46" w:rsidRDefault="00975153" w:rsidP="00C0200D">
      <w:pPr>
        <w:pStyle w:val="ListParagraph"/>
        <w:numPr>
          <w:ilvl w:val="0"/>
          <w:numId w:val="66"/>
        </w:numPr>
      </w:pPr>
      <w:r w:rsidRPr="00E34E46">
        <w:lastRenderedPageBreak/>
        <w:t>Nombre de projets d’approvisionnement qui remplissent les critères d’évaluation de l’approvisionnement :</w:t>
      </w:r>
    </w:p>
    <w:p w14:paraId="391525BF" w14:textId="77777777" w:rsidR="00975153" w:rsidRPr="00E34E46" w:rsidRDefault="00975153" w:rsidP="00C0200D">
      <w:pPr>
        <w:pStyle w:val="ListParagraph"/>
        <w:numPr>
          <w:ilvl w:val="0"/>
          <w:numId w:val="66"/>
        </w:numPr>
      </w:pPr>
      <w:r w:rsidRPr="00E34E46">
        <w:t>Note maximale :</w:t>
      </w:r>
    </w:p>
    <w:p w14:paraId="7B55F0F7" w14:textId="77777777" w:rsidR="00975153" w:rsidRPr="00E34E46" w:rsidRDefault="00975153" w:rsidP="00C0200D">
      <w:pPr>
        <w:pStyle w:val="ListParagraph"/>
        <w:numPr>
          <w:ilvl w:val="0"/>
          <w:numId w:val="66"/>
        </w:numPr>
      </w:pPr>
      <w:r w:rsidRPr="00E34E46">
        <w:t>Note minimale :</w:t>
      </w:r>
    </w:p>
    <w:p w14:paraId="313F743B" w14:textId="77777777" w:rsidR="00ED14B4" w:rsidRPr="00E34E46" w:rsidRDefault="00ED14B4" w:rsidP="00B56537">
      <w:pPr>
        <w:rPr>
          <w:rFonts w:cstheme="majorBidi"/>
          <w:color w:val="0F4761" w:themeColor="accent1" w:themeShade="BF"/>
          <w:sz w:val="32"/>
          <w:szCs w:val="32"/>
        </w:rPr>
      </w:pPr>
      <w:r w:rsidRPr="00E34E46">
        <w:br w:type="page"/>
      </w:r>
    </w:p>
    <w:p w14:paraId="4B95C603" w14:textId="2568E14E" w:rsidR="00F51CAE" w:rsidRPr="00E34E46" w:rsidRDefault="00F51CAE" w:rsidP="00B56537">
      <w:pPr>
        <w:pStyle w:val="Heading2"/>
      </w:pPr>
      <w:bookmarkStart w:id="246" w:name="_Toc224836489"/>
      <w:bookmarkStart w:id="247" w:name="_Toc224836717"/>
      <w:r w:rsidRPr="00E34E46">
        <w:lastRenderedPageBreak/>
        <w:t>Annexe F : Publications associées</w:t>
      </w:r>
      <w:bookmarkEnd w:id="246"/>
      <w:bookmarkEnd w:id="247"/>
    </w:p>
    <w:p w14:paraId="49296C0F" w14:textId="77777777" w:rsidR="003B1646" w:rsidRPr="00E34E46" w:rsidRDefault="003B1646" w:rsidP="003B1646">
      <w:pPr>
        <w:pStyle w:val="APABibliography"/>
      </w:pPr>
      <w:r w:rsidRPr="00E34E46">
        <w:t xml:space="preserve">AAA/CASCA </w:t>
      </w:r>
      <w:proofErr w:type="spellStart"/>
      <w:r w:rsidRPr="00E34E46">
        <w:t>Annual</w:t>
      </w:r>
      <w:proofErr w:type="spellEnd"/>
      <w:r w:rsidRPr="00E34E46">
        <w:t xml:space="preserve"> Conference (19 novembre 2024). Toronto (Ontario) Knot et coll. « Mapping </w:t>
      </w:r>
      <w:proofErr w:type="spellStart"/>
      <w:r w:rsidRPr="00E34E46">
        <w:t>Disability</w:t>
      </w:r>
      <w:proofErr w:type="spellEnd"/>
      <w:r w:rsidRPr="00E34E46">
        <w:t xml:space="preserve"> Inclusion in Social Procurement and Canadian </w:t>
      </w:r>
      <w:proofErr w:type="spellStart"/>
      <w:r w:rsidRPr="00E34E46">
        <w:t>Municipalities</w:t>
      </w:r>
      <w:proofErr w:type="spellEnd"/>
      <w:r w:rsidRPr="00E34E46">
        <w:t xml:space="preserve"> ». Voir le programme de la conférence : </w:t>
      </w:r>
      <w:hyperlink r:id="rId135" w:history="1">
        <w:r w:rsidRPr="00E34E46">
          <w:rPr>
            <w:rStyle w:val="Hyperlink"/>
          </w:rPr>
          <w:t>https://openanthroresearch.org/index.php/oarr/preprint/view/395/667</w:t>
        </w:r>
      </w:hyperlink>
    </w:p>
    <w:p w14:paraId="64525853" w14:textId="77777777" w:rsidR="003B1646" w:rsidRPr="00E34E46" w:rsidRDefault="003B1646" w:rsidP="003B1646">
      <w:pPr>
        <w:pStyle w:val="APABibliography"/>
      </w:pPr>
      <w:r w:rsidRPr="00E34E46">
        <w:t xml:space="preserve">Site Web de la recherche d’INCA </w:t>
      </w:r>
      <w:r w:rsidRPr="00E34E46">
        <w:fldChar w:fldCharType="begin"/>
      </w:r>
      <w:r w:rsidRPr="00E34E46">
        <w:instrText>HYPERLINK "https://www.inca.ca/fr/activites-de-recherche-terminees?region=gta%23Mod%C3%A8le%20de%20cha%C3%AEne%20d%E2%80%99approvisionnement%20et%20de%20passation%20de%20march%C3%A9s%20accessible%20et%20inclusif%20(2021-2024)"</w:instrText>
      </w:r>
    </w:p>
    <w:p w14:paraId="32D8BBA9" w14:textId="77777777" w:rsidR="003B1646" w:rsidRPr="00E34E46" w:rsidRDefault="003B1646" w:rsidP="003B1646">
      <w:pPr>
        <w:pStyle w:val="APABibliography"/>
      </w:pPr>
      <w:r w:rsidRPr="00E34E46">
        <w:fldChar w:fldCharType="separate"/>
      </w:r>
      <w:r w:rsidRPr="00E34E46">
        <w:rPr>
          <w:rStyle w:val="Hyperlink"/>
        </w:rPr>
        <w:t>https://www.inca.ca/fr/activites-de-recherche-terminees?region=gta#Mod%C3%A8le%20de%20cha%C3%AEne%20d%E2%80%99approvisionnement%20et%20de%20passation%20de%20march%C3%A9s%20accessible%20et%20inclusif%20(2021-2024)</w:t>
      </w:r>
      <w:r w:rsidRPr="00E34E46">
        <w:fldChar w:fldCharType="end"/>
      </w:r>
    </w:p>
    <w:p w14:paraId="712B8920" w14:textId="77777777" w:rsidR="003B1646" w:rsidRPr="00E34E46" w:rsidRDefault="003B1646" w:rsidP="003B1646">
      <w:pPr>
        <w:pStyle w:val="APABibliography"/>
      </w:pPr>
      <w:r w:rsidRPr="00E34E46">
        <w:t xml:space="preserve">Sukhai, M. (29 juin 2023). </w:t>
      </w:r>
      <w:hyperlink r:id="rId136" w:history="1">
        <w:r w:rsidRPr="00E34E46">
          <w:rPr>
            <w:rStyle w:val="Hyperlink"/>
          </w:rPr>
          <w:t>Table ronde</w:t>
        </w:r>
      </w:hyperlink>
      <w:r w:rsidRPr="00E34E46">
        <w:t xml:space="preserve"> sur l’importance de l’approvisionnement accessible. Guelph </w:t>
      </w:r>
      <w:proofErr w:type="spellStart"/>
      <w:r w:rsidRPr="00E34E46">
        <w:t>Accessibility</w:t>
      </w:r>
      <w:proofErr w:type="spellEnd"/>
      <w:r w:rsidRPr="00E34E46">
        <w:t xml:space="preserve"> Conference. </w:t>
      </w:r>
    </w:p>
    <w:p w14:paraId="5FF35147" w14:textId="77777777" w:rsidR="003B1646" w:rsidRPr="00E34E46" w:rsidRDefault="003B1646" w:rsidP="003B1646">
      <w:pPr>
        <w:pStyle w:val="APABibliography"/>
      </w:pPr>
      <w:r w:rsidRPr="00E34E46">
        <w:t xml:space="preserve">Sukhai, M. (2 octobre 2023). « Virtual </w:t>
      </w:r>
      <w:proofErr w:type="spellStart"/>
      <w:r w:rsidRPr="00E34E46">
        <w:t>Accessibility</w:t>
      </w:r>
      <w:proofErr w:type="spellEnd"/>
      <w:r w:rsidRPr="00E34E46">
        <w:t xml:space="preserve"> Café: Accessible and Inclusive Procurement », Queens </w:t>
      </w:r>
      <w:proofErr w:type="spellStart"/>
      <w:r w:rsidRPr="00E34E46">
        <w:t>University</w:t>
      </w:r>
      <w:proofErr w:type="spellEnd"/>
      <w:r w:rsidRPr="00E34E46">
        <w:t xml:space="preserve">. En ligne : </w:t>
      </w:r>
      <w:hyperlink r:id="rId137" w:history="1">
        <w:r w:rsidRPr="00E34E46">
          <w:rPr>
            <w:rStyle w:val="Hyperlink"/>
          </w:rPr>
          <w:t>https://www.queensu.ca/eventscalendar/calendar/events/virtual-accessibility-café-accessible-and-inclusive-procurement</w:t>
        </w:r>
      </w:hyperlink>
    </w:p>
    <w:p w14:paraId="591909DD" w14:textId="77777777" w:rsidR="003B1646" w:rsidRPr="00E34E46" w:rsidRDefault="003B1646" w:rsidP="003B1646">
      <w:pPr>
        <w:pStyle w:val="APABibliography"/>
      </w:pPr>
      <w:r w:rsidRPr="00E34E46">
        <w:lastRenderedPageBreak/>
        <w:t>Sukhai, M. (28 juin 2023). « </w:t>
      </w:r>
      <w:proofErr w:type="spellStart"/>
      <w:r w:rsidRPr="00E34E46">
        <w:t>Effecting</w:t>
      </w:r>
      <w:proofErr w:type="spellEnd"/>
      <w:r w:rsidRPr="00E34E46">
        <w:t xml:space="preserve"> Inclusive Change </w:t>
      </w:r>
      <w:proofErr w:type="spellStart"/>
      <w:r w:rsidRPr="00E34E46">
        <w:t>through</w:t>
      </w:r>
      <w:proofErr w:type="spellEnd"/>
      <w:r w:rsidRPr="00E34E46">
        <w:t xml:space="preserve"> Accessible Procurement », D2L </w:t>
      </w:r>
      <w:proofErr w:type="spellStart"/>
      <w:r w:rsidRPr="00E34E46">
        <w:t>Brightspace</w:t>
      </w:r>
      <w:proofErr w:type="spellEnd"/>
      <w:r w:rsidRPr="00E34E46">
        <w:t xml:space="preserve">. </w:t>
      </w:r>
      <w:proofErr w:type="spellStart"/>
      <w:r w:rsidRPr="00E34E46">
        <w:t>Accessibility</w:t>
      </w:r>
      <w:proofErr w:type="spellEnd"/>
      <w:r w:rsidRPr="00E34E46">
        <w:t xml:space="preserve"> </w:t>
      </w:r>
      <w:proofErr w:type="spellStart"/>
      <w:r w:rsidRPr="00E34E46">
        <w:t>Interest</w:t>
      </w:r>
      <w:proofErr w:type="spellEnd"/>
      <w:r w:rsidRPr="00E34E46">
        <w:t xml:space="preserve"> Group. En ligne : </w:t>
      </w:r>
      <w:hyperlink r:id="rId138" w:history="1">
        <w:r w:rsidRPr="00E34E46">
          <w:rPr>
            <w:rStyle w:val="Hyperlink"/>
          </w:rPr>
          <w:t>https://community.d2l.com/brightspace/kb/articles/18962-june-2023-accessibility-interest-group-recording</w:t>
        </w:r>
      </w:hyperlink>
    </w:p>
    <w:p w14:paraId="343EE09B" w14:textId="5B68A89A" w:rsidR="00572D60" w:rsidRPr="00E34E46" w:rsidRDefault="008D26C5" w:rsidP="003B1646">
      <w:pPr>
        <w:pStyle w:val="APABibliography"/>
        <w:rPr>
          <w:b/>
          <w:bCs/>
        </w:rPr>
      </w:pPr>
      <w:r w:rsidRPr="00E34E46">
        <w:t>Sukhai, M. (2024). Virtual Session 304: « </w:t>
      </w:r>
      <w:proofErr w:type="spellStart"/>
      <w:r w:rsidRPr="00E34E46">
        <w:t>Buying</w:t>
      </w:r>
      <w:proofErr w:type="spellEnd"/>
      <w:r w:rsidRPr="00E34E46">
        <w:t xml:space="preserve"> Change via Accessible Procurement », 28 février 2024. Connecting the Dot, CNIB. </w:t>
      </w:r>
    </w:p>
    <w:p w14:paraId="1019CD0D" w14:textId="2D34DC47" w:rsidR="00F51CAE" w:rsidRPr="00E34E46" w:rsidRDefault="00F51CAE" w:rsidP="0063526F">
      <w:pPr>
        <w:pStyle w:val="APABibliography"/>
      </w:pPr>
    </w:p>
    <w:p w14:paraId="25F7480D" w14:textId="55DF4190" w:rsidR="003B1646" w:rsidRPr="00E34E46" w:rsidRDefault="003B1646" w:rsidP="003B1646">
      <w:pPr>
        <w:pStyle w:val="APABibliography"/>
      </w:pPr>
      <w:r w:rsidRPr="00E34E46">
        <w:t xml:space="preserve">TRAES (avril 2024) – Accessible Procurement in Canada. En ligne : </w:t>
      </w:r>
      <w:r w:rsidR="00274A28" w:rsidRPr="00274A28">
        <w:t>https://bher.ca/resource/accessible-procurement-in-canada</w:t>
      </w:r>
    </w:p>
    <w:p w14:paraId="695547B6" w14:textId="487A5ED2" w:rsidR="00126CCB" w:rsidRPr="00E34E46" w:rsidRDefault="00126CCB">
      <w:pPr>
        <w:spacing w:before="0" w:after="160" w:line="259" w:lineRule="auto"/>
        <w:ind w:firstLine="0"/>
        <w:textAlignment w:val="auto"/>
      </w:pPr>
      <w:r w:rsidRPr="00E34E46">
        <w:br w:type="page"/>
      </w:r>
    </w:p>
    <w:p w14:paraId="79D7A8D5" w14:textId="2422E26D" w:rsidR="00FB5F9D" w:rsidRPr="00E34E46" w:rsidRDefault="00FB5F9D" w:rsidP="00126CCB">
      <w:pPr>
        <w:pStyle w:val="Heading2"/>
      </w:pPr>
      <w:bookmarkStart w:id="248" w:name="_Toc224836490"/>
      <w:bookmarkStart w:id="249" w:name="_Toc224836718"/>
      <w:r w:rsidRPr="00E34E46">
        <w:lastRenderedPageBreak/>
        <w:t>Annexe G : Conception universelle et conception universelle de l’apprentissage</w:t>
      </w:r>
      <w:bookmarkEnd w:id="248"/>
      <w:bookmarkEnd w:id="249"/>
    </w:p>
    <w:p w14:paraId="6174EB30" w14:textId="309C4F09" w:rsidR="00FB5F9D" w:rsidRPr="00E34E46" w:rsidRDefault="00FB5F9D" w:rsidP="00B56537">
      <w:r w:rsidRPr="00E34E46">
        <w:t>La conception universelle en Amérique du Nord est née de la conception de produits et est adaptée à l’environnement bâti. On l’appelle également conception inclusive et conception sans barrières au Royaume-Uni et en Europe. Pour l’approvisionnement accessible, les principes de conception universelle sont associés aux principes du cadre Universal Design for Learning (UDL) élaboré par CAST. Ces ensembles de principes ne sont pas mutuellement exclusifs et sont donc intégrés en tant que critères obligatoires en raison de la nature et de l’étendue de l’approvisionnement accessible de l’organisation (les principes sont présentés à l’annexe A). La conception universelle et l’UDL abordent l’intégration des services, qui désormais est davantage axée sur le rendement fonctionnel selon les capacités et les besoins de l’humain.</w:t>
      </w:r>
    </w:p>
    <w:p w14:paraId="18DC59FB" w14:textId="083E06DF" w:rsidR="00FB5F9D" w:rsidRPr="00E34E46" w:rsidRDefault="00FB5F9D" w:rsidP="003B1646">
      <w:r w:rsidRPr="00E34E46">
        <w:t xml:space="preserve">La norme harmonisée européenne (EN 301 549) met l’accent sur le rendement fonctionnel, tout en abordant l’approvisionnement en TIC, et plus généralement en biens et en services. Le rendement fonctionnel se </w:t>
      </w:r>
      <w:r w:rsidRPr="00E34E46">
        <w:lastRenderedPageBreak/>
        <w:t>concentre quant à lui sur la réduction des obstacles entravant l’accès, favorisant ainsi l’utilisation par les personnes dépourvues de vision ou ayant une vision limitée, une perception des couleurs restreinte, une portée ou une ouïe limitées, une capacité vocale limitée ou nulle, une force limitée, ou encore une dextérité restreinte, tout en tenant compte des facteurs de photosensibilité, des déclencheurs de crises, de la mémoire limitée et de l’utilisation nécessaire d’un langage simple. Les normes européennes précisent des exigences relatives à la fonctionnalité fermée et ouverte. La fonctionnalité fermée désigne un produit autonome (ETSI, 2021, page 23, article 5.1), tandis que la fonctionnalité ouverte permet à un utilisateur d’installer des dispositifs et des technologies d’assistance, par exemple. Les exigences sont ensuite déterminées dans le contexte du bien, du service et des installations – lorsqu’il existe des fonctionnalités d’accessibilité intégrées, une interopérabilité avec des technologies d’assistance accessibles, ou lorsqu’un produit accessible est « prêt à l’emploi ».</w:t>
      </w:r>
    </w:p>
    <w:p w14:paraId="5874B8B1" w14:textId="4E9A4DB0" w:rsidR="00FB5F9D" w:rsidRPr="00E34E46" w:rsidRDefault="00FB5F9D" w:rsidP="00B56537">
      <w:r w:rsidRPr="00E34E46">
        <w:t xml:space="preserve">La conception universelle s’adresse à la plus vaste gamme de capacités humaines, au lieu de répondre aux besoins de l’utilisateur prototypique. Le processus comprend que les humains ont des besoins </w:t>
      </w:r>
      <w:r w:rsidRPr="00E34E46">
        <w:lastRenderedPageBreak/>
        <w:t>différents. Il adopte donc une approche centrée sur l’utilisateur dans la conception d’un produit, d’un service ou d’une installation, de la création à la fin du cycle de développement.</w:t>
      </w:r>
    </w:p>
    <w:p w14:paraId="10DE3539" w14:textId="77777777" w:rsidR="00FB5F9D" w:rsidRPr="00E34E46" w:rsidRDefault="00FB5F9D" w:rsidP="00B56537">
      <w:r w:rsidRPr="00E34E46">
        <w:t>North Carolina Center for Universal Design</w:t>
      </w:r>
    </w:p>
    <w:p w14:paraId="37AC73CB" w14:textId="77777777" w:rsidR="00FB5F9D" w:rsidRPr="00E34E46" w:rsidRDefault="00FB5F9D" w:rsidP="00B56537">
      <w:r w:rsidRPr="00E34E46">
        <w:t>1.</w:t>
      </w:r>
      <w:r w:rsidRPr="00E34E46">
        <w:tab/>
        <w:t>Utilisation équitable</w:t>
      </w:r>
    </w:p>
    <w:p w14:paraId="6DE31367" w14:textId="77777777" w:rsidR="00FB5F9D" w:rsidRPr="00E34E46" w:rsidRDefault="00FB5F9D" w:rsidP="00B56537">
      <w:r w:rsidRPr="00E34E46">
        <w:t>2.</w:t>
      </w:r>
      <w:r w:rsidRPr="00E34E46">
        <w:tab/>
        <w:t>Souplesse d’utilisation</w:t>
      </w:r>
    </w:p>
    <w:p w14:paraId="3B6C3C65" w14:textId="77777777" w:rsidR="00FB5F9D" w:rsidRPr="00E34E46" w:rsidRDefault="00FB5F9D" w:rsidP="00B56537">
      <w:r w:rsidRPr="00E34E46">
        <w:t>3.</w:t>
      </w:r>
      <w:r w:rsidRPr="00E34E46">
        <w:tab/>
        <w:t>Utilisation simple et intuitive</w:t>
      </w:r>
    </w:p>
    <w:p w14:paraId="4255D0C6" w14:textId="77777777" w:rsidR="00FB5F9D" w:rsidRPr="00E34E46" w:rsidRDefault="00FB5F9D" w:rsidP="00B56537">
      <w:r w:rsidRPr="00E34E46">
        <w:t>4.</w:t>
      </w:r>
      <w:r w:rsidRPr="00E34E46">
        <w:tab/>
        <w:t>Information perceptible</w:t>
      </w:r>
    </w:p>
    <w:p w14:paraId="71370CD9" w14:textId="77777777" w:rsidR="00FB5F9D" w:rsidRPr="00E34E46" w:rsidRDefault="00FB5F9D" w:rsidP="00B56537">
      <w:r w:rsidRPr="00E34E46">
        <w:t>5.</w:t>
      </w:r>
      <w:r w:rsidRPr="00E34E46">
        <w:tab/>
        <w:t>Marge d’erreur</w:t>
      </w:r>
    </w:p>
    <w:p w14:paraId="67F4E7A0" w14:textId="77777777" w:rsidR="00FB5F9D" w:rsidRPr="00E34E46" w:rsidRDefault="00FB5F9D" w:rsidP="00B56537">
      <w:r w:rsidRPr="00E34E46">
        <w:t>6.</w:t>
      </w:r>
      <w:r w:rsidRPr="00E34E46">
        <w:tab/>
        <w:t>Faible effort physique</w:t>
      </w:r>
    </w:p>
    <w:p w14:paraId="3966DCA3" w14:textId="77777777" w:rsidR="00FB5F9D" w:rsidRPr="00E34E46" w:rsidRDefault="00FB5F9D" w:rsidP="00B56537">
      <w:r w:rsidRPr="00E34E46">
        <w:t>7.</w:t>
      </w:r>
      <w:r w:rsidRPr="00E34E46">
        <w:tab/>
        <w:t xml:space="preserve">Taille et espaces d’approche et d’utilisation </w:t>
      </w:r>
    </w:p>
    <w:p w14:paraId="3A2B2831" w14:textId="77777777" w:rsidR="00FB5F9D" w:rsidRPr="00E34E46" w:rsidRDefault="00FB5F9D" w:rsidP="00B56537">
      <w:r w:rsidRPr="00E34E46">
        <w:t xml:space="preserve">© 1997. NC State </w:t>
      </w:r>
      <w:proofErr w:type="spellStart"/>
      <w:r w:rsidRPr="00E34E46">
        <w:t>University</w:t>
      </w:r>
      <w:proofErr w:type="spellEnd"/>
      <w:r w:rsidRPr="00E34E46">
        <w:t>, The Center for Universal Design</w:t>
      </w:r>
    </w:p>
    <w:p w14:paraId="24B1A483" w14:textId="10A32704" w:rsidR="00FB5F9D" w:rsidRPr="00E34E46" w:rsidRDefault="00FB5F9D" w:rsidP="00B56537">
      <w:r w:rsidRPr="00E34E46">
        <w:t>Source</w:t>
      </w:r>
      <w:r w:rsidR="003B1646" w:rsidRPr="00E34E46">
        <w:t> </w:t>
      </w:r>
      <w:r w:rsidRPr="00E34E46">
        <w:t xml:space="preserve">: </w:t>
      </w:r>
      <w:hyperlink r:id="rId139" w:history="1">
        <w:r w:rsidR="00E56C38" w:rsidRPr="00E34E46">
          <w:rPr>
            <w:rStyle w:val="Hyperlink"/>
          </w:rPr>
          <w:t>https://design.ncsu.edu/research/center-for-universal-design/</w:t>
        </w:r>
      </w:hyperlink>
    </w:p>
    <w:p w14:paraId="4E00FEB8" w14:textId="5E1C8244" w:rsidR="00FB5F9D" w:rsidRPr="00E34E46" w:rsidRDefault="00FB5F9D" w:rsidP="00B56537">
      <w:r w:rsidRPr="00E34E46">
        <w:lastRenderedPageBreak/>
        <w:t>Directives de Universal Design for Learning de CAST</w:t>
      </w:r>
    </w:p>
    <w:p w14:paraId="1738BD7A" w14:textId="06BE654A" w:rsidR="00FB5F9D" w:rsidRPr="00E34E46" w:rsidRDefault="00FB5F9D" w:rsidP="00B56537">
      <w:r w:rsidRPr="00E34E46">
        <w:t>Fondés sur la recherche en neurosciences, ces trois principes aident à guider toute personne qui enseigne et qui conçoit des cours et des environnements d’apprentissage afin de favoriser l’équité et répondre aux besoins d’apprentissage diversifiés. Ces principes ne visent pas un âge ou un contexte en particulier (p. ex., âge scolaire; principes destinés aux établissements postsecondaires seulement).</w:t>
      </w:r>
    </w:p>
    <w:p w14:paraId="76C9A29F" w14:textId="77777777" w:rsidR="00FB5F9D" w:rsidRPr="00E34E46" w:rsidRDefault="00FB5F9D" w:rsidP="00B56537">
      <w:r w:rsidRPr="00E34E46">
        <w:t>1.</w:t>
      </w:r>
      <w:r w:rsidRPr="00E34E46">
        <w:tab/>
        <w:t>Multiples modes d’engagement</w:t>
      </w:r>
    </w:p>
    <w:p w14:paraId="30709B88" w14:textId="77777777" w:rsidR="00FB5F9D" w:rsidRPr="00E34E46" w:rsidRDefault="00FB5F9D" w:rsidP="00B56537">
      <w:r w:rsidRPr="00E34E46">
        <w:t>2.</w:t>
      </w:r>
      <w:r w:rsidRPr="00E34E46">
        <w:tab/>
        <w:t>Multiples modes de représentation</w:t>
      </w:r>
    </w:p>
    <w:p w14:paraId="6B0B8E4A" w14:textId="77777777" w:rsidR="00FB5F9D" w:rsidRPr="00E34E46" w:rsidRDefault="00FB5F9D" w:rsidP="00B56537">
      <w:r w:rsidRPr="00E34E46">
        <w:t>3.</w:t>
      </w:r>
      <w:r w:rsidRPr="00E34E46">
        <w:tab/>
        <w:t>Multiples moyens d’expression</w:t>
      </w:r>
    </w:p>
    <w:p w14:paraId="355E9D93" w14:textId="2B477D2D" w:rsidR="00FB5F9D" w:rsidRPr="00E34E46" w:rsidRDefault="00FB5F9D" w:rsidP="00B56537">
      <w:r w:rsidRPr="00E34E46">
        <w:t xml:space="preserve">Source : </w:t>
      </w:r>
      <w:hyperlink r:id="rId140" w:history="1">
        <w:r w:rsidR="00E56C38" w:rsidRPr="00E34E46">
          <w:rPr>
            <w:rStyle w:val="Hyperlink"/>
          </w:rPr>
          <w:t>https://udlguidelines.cast.org/</w:t>
        </w:r>
      </w:hyperlink>
      <w:r w:rsidRPr="00E34E46">
        <w:t xml:space="preserve"> [en anglais]</w:t>
      </w:r>
    </w:p>
    <w:sectPr w:rsidR="00FB5F9D" w:rsidRPr="00E34E46">
      <w:footerReference w:type="default" r:id="rId14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F24C2" w14:textId="77777777" w:rsidR="00B83349" w:rsidRPr="00753083" w:rsidRDefault="00B83349" w:rsidP="00B56537">
      <w:r w:rsidRPr="00753083">
        <w:separator/>
      </w:r>
    </w:p>
  </w:endnote>
  <w:endnote w:type="continuationSeparator" w:id="0">
    <w:p w14:paraId="30FB8E8F" w14:textId="77777777" w:rsidR="00B83349" w:rsidRPr="00753083" w:rsidRDefault="00B83349" w:rsidP="00B56537">
      <w:r w:rsidRPr="00753083">
        <w:continuationSeparator/>
      </w:r>
    </w:p>
  </w:endnote>
  <w:endnote w:type="continuationNotice" w:id="1">
    <w:p w14:paraId="2C5EE19C" w14:textId="77777777" w:rsidR="00B83349" w:rsidRPr="00753083" w:rsidRDefault="00B83349" w:rsidP="00B565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63415" w14:textId="3C9A7E21" w:rsidR="00777022" w:rsidRPr="00753083" w:rsidRDefault="00777022" w:rsidP="00B56537">
    <w:pPr>
      <w:pStyle w:val="Footer"/>
    </w:pPr>
    <w:r>
      <w:rPr>
        <w:noProof/>
      </w:rPr>
      <w:drawing>
        <wp:inline distT="0" distB="0" distL="0" distR="0" wp14:anchorId="2AD61438" wp14:editId="122BFD20">
          <wp:extent cx="6816898" cy="688294"/>
          <wp:effectExtent l="0" t="0" r="3175" b="0"/>
          <wp:docPr id="863988880" name="Picture 1" descr="Unilingual, o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lingual, optio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5710" cy="70029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2262000"/>
      <w:docPartObj>
        <w:docPartGallery w:val="Page Numbers (Bottom of Page)"/>
        <w:docPartUnique/>
      </w:docPartObj>
    </w:sdtPr>
    <w:sdtEndPr>
      <w:rPr>
        <w:spacing w:val="60"/>
      </w:rPr>
    </w:sdtEndPr>
    <w:sdtContent>
      <w:p w14:paraId="0FD73BB1" w14:textId="7DC43CD6" w:rsidR="00777022" w:rsidRPr="00753083" w:rsidRDefault="00777022" w:rsidP="00D20CA0">
        <w:pPr>
          <w:pStyle w:val="Footer"/>
          <w:ind w:firstLine="0"/>
          <w:rPr>
            <w:b/>
            <w:bCs/>
          </w:rPr>
        </w:pPr>
        <w:r w:rsidRPr="00753083">
          <w:fldChar w:fldCharType="begin"/>
        </w:r>
        <w:r w:rsidRPr="00753083">
          <w:instrText xml:space="preserve"> PAGE   \* MERGEFORMAT </w:instrText>
        </w:r>
        <w:r w:rsidRPr="00753083">
          <w:fldChar w:fldCharType="separate"/>
        </w:r>
        <w:r w:rsidR="004545AD" w:rsidRPr="00753083">
          <w:rPr>
            <w:b/>
          </w:rPr>
          <w:t>114</w:t>
        </w:r>
        <w:r w:rsidRPr="00753083">
          <w:rPr>
            <w:b/>
          </w:rPr>
          <w:fldChar w:fldCharType="end"/>
        </w:r>
      </w:p>
    </w:sdtContent>
  </w:sdt>
  <w:p w14:paraId="09E71355" w14:textId="0204EDB0" w:rsidR="00777022" w:rsidRPr="00753083" w:rsidRDefault="003E6EB3" w:rsidP="00B56537">
    <w:pPr>
      <w:pStyle w:val="Footer"/>
    </w:pPr>
    <w:r>
      <w:rPr>
        <w:noProof/>
      </w:rPr>
      <w:drawing>
        <wp:inline distT="0" distB="0" distL="0" distR="0" wp14:anchorId="50F27717" wp14:editId="7DFE3F9F">
          <wp:extent cx="5943600" cy="517525"/>
          <wp:effectExtent l="0" t="0" r="0" b="0"/>
          <wp:docPr id="1503945352" name="Picture 10" descr="Financé par le gouvernement du Canada; mot‑symbole « Canada » en lettres noires sur fond transparent et drapeau canadien en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45352" name="Picture 10" descr="Financé par le gouvernement du Canada; mot‑symbole « Canada » en lettres noires sur fond transparent et drapeau canadien en rou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175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328AE" w14:textId="77777777" w:rsidR="00B83349" w:rsidRPr="00753083" w:rsidRDefault="00B83349" w:rsidP="00B56537">
      <w:r w:rsidRPr="00753083">
        <w:separator/>
      </w:r>
    </w:p>
  </w:footnote>
  <w:footnote w:type="continuationSeparator" w:id="0">
    <w:p w14:paraId="15A83E0B" w14:textId="77777777" w:rsidR="00B83349" w:rsidRPr="00753083" w:rsidRDefault="00B83349" w:rsidP="00B56537">
      <w:r w:rsidRPr="00753083">
        <w:continuationSeparator/>
      </w:r>
    </w:p>
  </w:footnote>
  <w:footnote w:type="continuationNotice" w:id="1">
    <w:p w14:paraId="09A3740C" w14:textId="77777777" w:rsidR="00B83349" w:rsidRPr="00753083" w:rsidRDefault="00B83349" w:rsidP="00B565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4F49" w14:textId="2A7329C7" w:rsidR="00777022" w:rsidRDefault="00777022" w:rsidP="00FA130D">
    <w:pPr>
      <w:pStyle w:val="Header"/>
      <w:ind w:firstLine="540"/>
      <w:jc w:val="right"/>
    </w:pPr>
    <w:r>
      <w:rPr>
        <w:noProof/>
      </w:rPr>
      <w:drawing>
        <wp:inline distT="0" distB="0" distL="0" distR="0" wp14:anchorId="571E4603" wp14:editId="6C2C5488">
          <wp:extent cx="2416162" cy="406761"/>
          <wp:effectExtent l="0" t="0" r="3810" b="0"/>
          <wp:docPr id="1213036519" name="Picture 2" descr="Procurement Table ScoreCar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36519" name="Picture 2" descr="Procurement Table ScoreCard Template."/>
                  <pic:cNvPicPr/>
                </pic:nvPicPr>
                <pic:blipFill>
                  <a:blip r:embed="rId1">
                    <a:extLst>
                      <a:ext uri="{28A0092B-C50C-407E-A947-70E740481C1C}">
                        <a14:useLocalDpi xmlns:a14="http://schemas.microsoft.com/office/drawing/2010/main" val="0"/>
                      </a:ext>
                    </a:extLst>
                  </a:blip>
                  <a:stretch>
                    <a:fillRect/>
                  </a:stretch>
                </pic:blipFill>
                <pic:spPr>
                  <a:xfrm>
                    <a:off x="0" y="0"/>
                    <a:ext cx="2416162" cy="406761"/>
                  </a:xfrm>
                  <a:prstGeom prst="rect">
                    <a:avLst/>
                  </a:prstGeom>
                </pic:spPr>
              </pic:pic>
            </a:graphicData>
          </a:graphic>
        </wp:inline>
      </w:drawing>
    </w:r>
    <w:r w:rsidR="00B74928">
      <w:rPr>
        <w:noProof/>
      </w:rPr>
      <w:drawing>
        <wp:inline distT="0" distB="0" distL="0" distR="0" wp14:anchorId="1F168718" wp14:editId="143806F6">
          <wp:extent cx="2619445" cy="438150"/>
          <wp:effectExtent l="0" t="0" r="9525" b="0"/>
          <wp:docPr id="185610676" name="Picture 1" descr="Logo de l’INCA/CNIB en noir et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0676" name="Picture 1" descr="Logo de l’INCA/CNIB en noir et blanc"/>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32168" cy="440278"/>
                  </a:xfrm>
                  <a:prstGeom prst="rect">
                    <a:avLst/>
                  </a:prstGeom>
                </pic:spPr>
              </pic:pic>
            </a:graphicData>
          </a:graphic>
        </wp:inline>
      </w:drawing>
    </w:r>
  </w:p>
  <w:p w14:paraId="7234A844" w14:textId="77777777" w:rsidR="00B74928" w:rsidRPr="00753083" w:rsidRDefault="00B74928" w:rsidP="00B74928">
    <w:pPr>
      <w:pStyle w:val="Header"/>
      <w:ind w:firstLine="54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34EBD"/>
    <w:multiLevelType w:val="hybridMultilevel"/>
    <w:tmpl w:val="66880DE8"/>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3A2FB4"/>
    <w:multiLevelType w:val="hybridMultilevel"/>
    <w:tmpl w:val="8548B7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DA40A5"/>
    <w:multiLevelType w:val="hybridMultilevel"/>
    <w:tmpl w:val="BC546E4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B95A04"/>
    <w:multiLevelType w:val="hybridMultilevel"/>
    <w:tmpl w:val="1DC8ED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1564564"/>
    <w:multiLevelType w:val="hybridMultilevel"/>
    <w:tmpl w:val="8DC2E0C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5313304"/>
    <w:multiLevelType w:val="multilevel"/>
    <w:tmpl w:val="DE52AF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174F5C"/>
    <w:multiLevelType w:val="multilevel"/>
    <w:tmpl w:val="62E2D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1C0988"/>
    <w:multiLevelType w:val="hybridMultilevel"/>
    <w:tmpl w:val="B4464EE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1DA753E9"/>
    <w:multiLevelType w:val="multilevel"/>
    <w:tmpl w:val="C4EC2C5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DC950FF"/>
    <w:multiLevelType w:val="multilevel"/>
    <w:tmpl w:val="6AE0B34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EC238A6"/>
    <w:multiLevelType w:val="hybridMultilevel"/>
    <w:tmpl w:val="E7F4FF5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F263031"/>
    <w:multiLevelType w:val="hybridMultilevel"/>
    <w:tmpl w:val="0E7868DC"/>
    <w:lvl w:ilvl="0" w:tplc="490CAF5A">
      <w:start w:val="1"/>
      <w:numFmt w:val="decimal"/>
      <w:lvlText w:val="%1."/>
      <w:lvlJc w:val="left"/>
      <w:pPr>
        <w:ind w:left="1440" w:hanging="360"/>
      </w:pPr>
      <w:rPr>
        <w:sz w:val="22"/>
        <w:szCs w:val="22"/>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 w15:restartNumberingAfterBreak="0">
    <w:nsid w:val="208F4574"/>
    <w:multiLevelType w:val="hybridMultilevel"/>
    <w:tmpl w:val="E3DAA6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625D7D"/>
    <w:multiLevelType w:val="hybridMultilevel"/>
    <w:tmpl w:val="A7DAC1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32450EB"/>
    <w:multiLevelType w:val="hybridMultilevel"/>
    <w:tmpl w:val="29E0EB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3EC5DAA"/>
    <w:multiLevelType w:val="multilevel"/>
    <w:tmpl w:val="04DCC0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58E7D3B"/>
    <w:multiLevelType w:val="hybridMultilevel"/>
    <w:tmpl w:val="F604A600"/>
    <w:lvl w:ilvl="0" w:tplc="027CCFF0">
      <w:start w:val="1"/>
      <w:numFmt w:val="decimal"/>
      <w:lvlText w:val="%1."/>
      <w:lvlJc w:val="left"/>
      <w:pPr>
        <w:ind w:left="720" w:hanging="360"/>
      </w:pPr>
      <w:rPr>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B691F3C"/>
    <w:multiLevelType w:val="multilevel"/>
    <w:tmpl w:val="ABF462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D5E2F2C"/>
    <w:multiLevelType w:val="hybridMultilevel"/>
    <w:tmpl w:val="D8EA38F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2E396A07"/>
    <w:multiLevelType w:val="hybridMultilevel"/>
    <w:tmpl w:val="C6B0E06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2F894F5A"/>
    <w:multiLevelType w:val="hybridMultilevel"/>
    <w:tmpl w:val="CC24FC7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FCB3E23"/>
    <w:multiLevelType w:val="hybridMultilevel"/>
    <w:tmpl w:val="27C4D9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3A91D14"/>
    <w:multiLevelType w:val="multilevel"/>
    <w:tmpl w:val="7834C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7522A8"/>
    <w:multiLevelType w:val="hybridMultilevel"/>
    <w:tmpl w:val="8BD4B71E"/>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3898695B"/>
    <w:multiLevelType w:val="hybridMultilevel"/>
    <w:tmpl w:val="B45CDB52"/>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AA477F7"/>
    <w:multiLevelType w:val="hybridMultilevel"/>
    <w:tmpl w:val="01601F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C350028"/>
    <w:multiLevelType w:val="multilevel"/>
    <w:tmpl w:val="4CD4AE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31124C"/>
    <w:multiLevelType w:val="hybridMultilevel"/>
    <w:tmpl w:val="62468AF4"/>
    <w:lvl w:ilvl="0" w:tplc="10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0750D71"/>
    <w:multiLevelType w:val="hybridMultilevel"/>
    <w:tmpl w:val="E3DAA67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1DC699D"/>
    <w:multiLevelType w:val="hybridMultilevel"/>
    <w:tmpl w:val="9AB213C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41E11BBD"/>
    <w:multiLevelType w:val="hybridMultilevel"/>
    <w:tmpl w:val="BD9812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29A56A1"/>
    <w:multiLevelType w:val="hybridMultilevel"/>
    <w:tmpl w:val="6AF4A5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33A480A"/>
    <w:multiLevelType w:val="hybridMultilevel"/>
    <w:tmpl w:val="B816D1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3DA3903"/>
    <w:multiLevelType w:val="multilevel"/>
    <w:tmpl w:val="A098958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44E26224"/>
    <w:multiLevelType w:val="hybridMultilevel"/>
    <w:tmpl w:val="840AF1F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4A705E96"/>
    <w:multiLevelType w:val="hybridMultilevel"/>
    <w:tmpl w:val="CACA5DE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 w15:restartNumberingAfterBreak="0">
    <w:nsid w:val="51173377"/>
    <w:multiLevelType w:val="hybridMultilevel"/>
    <w:tmpl w:val="1FE27E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554171AF"/>
    <w:multiLevelType w:val="hybridMultilevel"/>
    <w:tmpl w:val="4E30F63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55EE5200"/>
    <w:multiLevelType w:val="hybridMultilevel"/>
    <w:tmpl w:val="2562945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9" w15:restartNumberingAfterBreak="0">
    <w:nsid w:val="578D75AF"/>
    <w:multiLevelType w:val="multilevel"/>
    <w:tmpl w:val="1BDE527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57E65B98"/>
    <w:multiLevelType w:val="multilevel"/>
    <w:tmpl w:val="1C4E32E6"/>
    <w:lvl w:ilvl="0">
      <w:start w:val="1"/>
      <w:numFmt w:val="decimal"/>
      <w:lvlText w:val="%1."/>
      <w:lvlJc w:val="left"/>
      <w:pPr>
        <w:tabs>
          <w:tab w:val="num" w:pos="630"/>
        </w:tabs>
        <w:ind w:left="630" w:hanging="360"/>
      </w:pPr>
    </w:lvl>
    <w:lvl w:ilvl="1">
      <w:start w:val="1"/>
      <w:numFmt w:val="decimal"/>
      <w:lvlText w:val="%2."/>
      <w:lvlJc w:val="left"/>
      <w:pPr>
        <w:ind w:left="1440" w:hanging="360"/>
      </w:pPr>
      <w:rPr>
        <w:rFonts w:eastAsiaTheme="majorEastAsia" w:hint="default"/>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8A16F06"/>
    <w:multiLevelType w:val="hybridMultilevel"/>
    <w:tmpl w:val="F2FAF5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58ED4385"/>
    <w:multiLevelType w:val="multilevel"/>
    <w:tmpl w:val="155AA0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B382B5A"/>
    <w:multiLevelType w:val="multilevel"/>
    <w:tmpl w:val="BAE69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B7B3D49"/>
    <w:multiLevelType w:val="hybridMultilevel"/>
    <w:tmpl w:val="D19008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5D850B26"/>
    <w:multiLevelType w:val="multilevel"/>
    <w:tmpl w:val="1C4E32E6"/>
    <w:lvl w:ilvl="0">
      <w:start w:val="1"/>
      <w:numFmt w:val="decimal"/>
      <w:lvlText w:val="%1."/>
      <w:lvlJc w:val="left"/>
      <w:pPr>
        <w:tabs>
          <w:tab w:val="num" w:pos="630"/>
        </w:tabs>
        <w:ind w:left="630" w:hanging="360"/>
      </w:pPr>
    </w:lvl>
    <w:lvl w:ilvl="1">
      <w:start w:val="1"/>
      <w:numFmt w:val="decimal"/>
      <w:lvlText w:val="%2."/>
      <w:lvlJc w:val="left"/>
      <w:pPr>
        <w:ind w:left="1440" w:hanging="360"/>
      </w:pPr>
      <w:rPr>
        <w:rFonts w:eastAsiaTheme="majorEastAsia" w:hint="default"/>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FAB6709"/>
    <w:multiLevelType w:val="hybridMultilevel"/>
    <w:tmpl w:val="353EE2D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7" w15:restartNumberingAfterBreak="0">
    <w:nsid w:val="63BB4244"/>
    <w:multiLevelType w:val="hybridMultilevel"/>
    <w:tmpl w:val="FC4A316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676134F0"/>
    <w:multiLevelType w:val="hybridMultilevel"/>
    <w:tmpl w:val="3A18185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6A865952"/>
    <w:multiLevelType w:val="multilevel"/>
    <w:tmpl w:val="1C4E32E6"/>
    <w:lvl w:ilvl="0">
      <w:start w:val="1"/>
      <w:numFmt w:val="decimal"/>
      <w:lvlText w:val="%1."/>
      <w:lvlJc w:val="left"/>
      <w:pPr>
        <w:tabs>
          <w:tab w:val="num" w:pos="630"/>
        </w:tabs>
        <w:ind w:left="630" w:hanging="360"/>
      </w:pPr>
    </w:lvl>
    <w:lvl w:ilvl="1">
      <w:start w:val="1"/>
      <w:numFmt w:val="decimal"/>
      <w:lvlText w:val="%2."/>
      <w:lvlJc w:val="left"/>
      <w:pPr>
        <w:ind w:left="1440" w:hanging="360"/>
      </w:pPr>
      <w:rPr>
        <w:rFonts w:eastAsiaTheme="majorEastAsia" w:hint="default"/>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F416942"/>
    <w:multiLevelType w:val="hybridMultilevel"/>
    <w:tmpl w:val="AAE83A9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6F560225"/>
    <w:multiLevelType w:val="multilevel"/>
    <w:tmpl w:val="0726BE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54F3126"/>
    <w:multiLevelType w:val="multilevel"/>
    <w:tmpl w:val="95A2E0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77A13AD4"/>
    <w:multiLevelType w:val="hybridMultilevel"/>
    <w:tmpl w:val="42C0135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78442461"/>
    <w:multiLevelType w:val="hybridMultilevel"/>
    <w:tmpl w:val="824E4E4E"/>
    <w:lvl w:ilvl="0" w:tplc="5B5A1FB0">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7B084799"/>
    <w:multiLevelType w:val="hybridMultilevel"/>
    <w:tmpl w:val="0C0210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15:restartNumberingAfterBreak="0">
    <w:nsid w:val="7B5D6E66"/>
    <w:multiLevelType w:val="hybridMultilevel"/>
    <w:tmpl w:val="073E15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615865921">
    <w:abstractNumId w:val="52"/>
  </w:num>
  <w:num w:numId="2" w16cid:durableId="1279020674">
    <w:abstractNumId w:val="42"/>
  </w:num>
  <w:num w:numId="3" w16cid:durableId="1830094465">
    <w:abstractNumId w:val="43"/>
  </w:num>
  <w:num w:numId="4" w16cid:durableId="313484690">
    <w:abstractNumId w:val="50"/>
  </w:num>
  <w:num w:numId="5" w16cid:durableId="2002854200">
    <w:abstractNumId w:val="55"/>
  </w:num>
  <w:num w:numId="6" w16cid:durableId="941766765">
    <w:abstractNumId w:val="37"/>
  </w:num>
  <w:num w:numId="7" w16cid:durableId="1465005227">
    <w:abstractNumId w:val="30"/>
  </w:num>
  <w:num w:numId="8" w16cid:durableId="323095769">
    <w:abstractNumId w:val="44"/>
  </w:num>
  <w:num w:numId="9" w16cid:durableId="458575067">
    <w:abstractNumId w:val="14"/>
  </w:num>
  <w:num w:numId="10" w16cid:durableId="335615430">
    <w:abstractNumId w:val="3"/>
  </w:num>
  <w:num w:numId="11" w16cid:durableId="392318430">
    <w:abstractNumId w:val="34"/>
  </w:num>
  <w:num w:numId="12" w16cid:durableId="1326783282">
    <w:abstractNumId w:val="17"/>
  </w:num>
  <w:num w:numId="13" w16cid:durableId="1391461083">
    <w:abstractNumId w:val="13"/>
  </w:num>
  <w:num w:numId="14" w16cid:durableId="468208483">
    <w:abstractNumId w:val="31"/>
  </w:num>
  <w:num w:numId="15" w16cid:durableId="1897886916">
    <w:abstractNumId w:val="25"/>
  </w:num>
  <w:num w:numId="16" w16cid:durableId="2005694737">
    <w:abstractNumId w:val="20"/>
  </w:num>
  <w:num w:numId="17" w16cid:durableId="1283421925">
    <w:abstractNumId w:val="40"/>
  </w:num>
  <w:num w:numId="18" w16cid:durableId="114375550">
    <w:abstractNumId w:val="27"/>
  </w:num>
  <w:num w:numId="19" w16cid:durableId="303856788">
    <w:abstractNumId w:val="2"/>
  </w:num>
  <w:num w:numId="20" w16cid:durableId="1939217923">
    <w:abstractNumId w:val="53"/>
  </w:num>
  <w:num w:numId="21" w16cid:durableId="303463928">
    <w:abstractNumId w:val="41"/>
  </w:num>
  <w:num w:numId="22" w16cid:durableId="585386820">
    <w:abstractNumId w:val="21"/>
  </w:num>
  <w:num w:numId="23" w16cid:durableId="2030452532">
    <w:abstractNumId w:val="54"/>
  </w:num>
  <w:num w:numId="24" w16cid:durableId="1736003238">
    <w:abstractNumId w:val="1"/>
  </w:num>
  <w:num w:numId="25" w16cid:durableId="1567302382">
    <w:abstractNumId w:val="28"/>
  </w:num>
  <w:num w:numId="26" w16cid:durableId="2121141045">
    <w:abstractNumId w:val="48"/>
  </w:num>
  <w:num w:numId="27" w16cid:durableId="187449033">
    <w:abstractNumId w:val="47"/>
  </w:num>
  <w:num w:numId="28" w16cid:durableId="1519586498">
    <w:abstractNumId w:val="4"/>
  </w:num>
  <w:num w:numId="29" w16cid:durableId="93743577">
    <w:abstractNumId w:val="36"/>
  </w:num>
  <w:num w:numId="30" w16cid:durableId="1358972301">
    <w:abstractNumId w:val="10"/>
  </w:num>
  <w:num w:numId="31" w16cid:durableId="321858338">
    <w:abstractNumId w:val="56"/>
  </w:num>
  <w:num w:numId="32" w16cid:durableId="815486932">
    <w:abstractNumId w:val="45"/>
  </w:num>
  <w:num w:numId="33" w16cid:durableId="520508712">
    <w:abstractNumId w:val="49"/>
  </w:num>
  <w:num w:numId="34" w16cid:durableId="1001272097">
    <w:abstractNumId w:val="33"/>
  </w:num>
  <w:num w:numId="35" w16cid:durableId="265891891">
    <w:abstractNumId w:val="22"/>
  </w:num>
  <w:num w:numId="36" w16cid:durableId="431052233">
    <w:abstractNumId w:val="6"/>
  </w:num>
  <w:num w:numId="37" w16cid:durableId="195771908">
    <w:abstractNumId w:val="51"/>
  </w:num>
  <w:num w:numId="38" w16cid:durableId="1574315584">
    <w:abstractNumId w:val="5"/>
  </w:num>
  <w:num w:numId="39" w16cid:durableId="380251902">
    <w:abstractNumId w:val="26"/>
  </w:num>
  <w:num w:numId="40" w16cid:durableId="1145243138">
    <w:abstractNumId w:val="16"/>
  </w:num>
  <w:num w:numId="41" w16cid:durableId="1522821284">
    <w:abstractNumId w:val="11"/>
  </w:num>
  <w:num w:numId="42" w16cid:durableId="336231480">
    <w:abstractNumId w:val="38"/>
  </w:num>
  <w:num w:numId="43" w16cid:durableId="1360933217">
    <w:abstractNumId w:val="7"/>
  </w:num>
  <w:num w:numId="44" w16cid:durableId="888881407">
    <w:abstractNumId w:val="23"/>
  </w:num>
  <w:num w:numId="45" w16cid:durableId="686174979">
    <w:abstractNumId w:val="12"/>
  </w:num>
  <w:num w:numId="46" w16cid:durableId="441147976">
    <w:abstractNumId w:val="29"/>
  </w:num>
  <w:num w:numId="47" w16cid:durableId="277297938">
    <w:abstractNumId w:val="24"/>
  </w:num>
  <w:num w:numId="48" w16cid:durableId="1996956481">
    <w:abstractNumId w:val="0"/>
  </w:num>
  <w:num w:numId="49" w16cid:durableId="318925487">
    <w:abstractNumId w:val="39"/>
  </w:num>
  <w:num w:numId="50" w16cid:durableId="533201577">
    <w:abstractNumId w:val="9"/>
  </w:num>
  <w:num w:numId="51" w16cid:durableId="1274216746">
    <w:abstractNumId w:val="8"/>
  </w:num>
  <w:num w:numId="52" w16cid:durableId="687558399">
    <w:abstractNumId w:val="32"/>
  </w:num>
  <w:num w:numId="53" w16cid:durableId="1037242473">
    <w:abstractNumId w:val="18"/>
  </w:num>
  <w:num w:numId="54" w16cid:durableId="1317151497">
    <w:abstractNumId w:val="35"/>
  </w:num>
  <w:num w:numId="55" w16cid:durableId="279411134">
    <w:abstractNumId w:val="19"/>
  </w:num>
  <w:num w:numId="56" w16cid:durableId="1726099507">
    <w:abstractNumId w:val="46"/>
  </w:num>
  <w:num w:numId="57" w16cid:durableId="25297873">
    <w:abstractNumId w:val="15"/>
  </w:num>
  <w:num w:numId="58" w16cid:durableId="6502525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141049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629261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329558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209341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177528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682726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605626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543154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1" w:cryptProviderType="rsaAES" w:cryptAlgorithmClass="hash" w:cryptAlgorithmType="typeAny" w:cryptAlgorithmSid="14" w:cryptSpinCount="100000" w:hash="OQJLCChOTAgkTxQBjeOdA/P6HuKXAXbrekNdmHe7qrYD8B/3hVyOuljvc3z9LaSnfQxzQ2VGYz8CRlwU1CFvEQ==" w:salt="S5Rmnd8fhr39hVOgVbnTdQ=="/>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C6D"/>
    <w:rsid w:val="00000057"/>
    <w:rsid w:val="000000F7"/>
    <w:rsid w:val="00000B6A"/>
    <w:rsid w:val="00001442"/>
    <w:rsid w:val="000022B9"/>
    <w:rsid w:val="00003054"/>
    <w:rsid w:val="00003270"/>
    <w:rsid w:val="00003995"/>
    <w:rsid w:val="00003FA1"/>
    <w:rsid w:val="000042AA"/>
    <w:rsid w:val="00004C86"/>
    <w:rsid w:val="00005F90"/>
    <w:rsid w:val="000063BD"/>
    <w:rsid w:val="00007327"/>
    <w:rsid w:val="00007B4A"/>
    <w:rsid w:val="00007E6A"/>
    <w:rsid w:val="000105FD"/>
    <w:rsid w:val="000109C6"/>
    <w:rsid w:val="00010D57"/>
    <w:rsid w:val="0001120F"/>
    <w:rsid w:val="00012B4D"/>
    <w:rsid w:val="0001307A"/>
    <w:rsid w:val="00014209"/>
    <w:rsid w:val="00014C26"/>
    <w:rsid w:val="000168FF"/>
    <w:rsid w:val="00017585"/>
    <w:rsid w:val="0002053D"/>
    <w:rsid w:val="0002071C"/>
    <w:rsid w:val="00020984"/>
    <w:rsid w:val="0002167C"/>
    <w:rsid w:val="000216F6"/>
    <w:rsid w:val="000217EE"/>
    <w:rsid w:val="00021CC6"/>
    <w:rsid w:val="00021D99"/>
    <w:rsid w:val="00021E07"/>
    <w:rsid w:val="0002236A"/>
    <w:rsid w:val="00022FFB"/>
    <w:rsid w:val="00023A5A"/>
    <w:rsid w:val="00024191"/>
    <w:rsid w:val="0002472E"/>
    <w:rsid w:val="00025B9E"/>
    <w:rsid w:val="00026B80"/>
    <w:rsid w:val="00027D2D"/>
    <w:rsid w:val="00027E7B"/>
    <w:rsid w:val="00030C43"/>
    <w:rsid w:val="00031057"/>
    <w:rsid w:val="000310F1"/>
    <w:rsid w:val="0003143E"/>
    <w:rsid w:val="00031B85"/>
    <w:rsid w:val="000320AE"/>
    <w:rsid w:val="00032757"/>
    <w:rsid w:val="00032DAC"/>
    <w:rsid w:val="0003308D"/>
    <w:rsid w:val="00033BF4"/>
    <w:rsid w:val="00033EFE"/>
    <w:rsid w:val="000343AB"/>
    <w:rsid w:val="0003457B"/>
    <w:rsid w:val="000345F4"/>
    <w:rsid w:val="00034603"/>
    <w:rsid w:val="00034E29"/>
    <w:rsid w:val="00034F09"/>
    <w:rsid w:val="000354D6"/>
    <w:rsid w:val="00035768"/>
    <w:rsid w:val="00035D1E"/>
    <w:rsid w:val="00035F64"/>
    <w:rsid w:val="00036439"/>
    <w:rsid w:val="0003643D"/>
    <w:rsid w:val="00036E66"/>
    <w:rsid w:val="00036FE6"/>
    <w:rsid w:val="00040382"/>
    <w:rsid w:val="00040903"/>
    <w:rsid w:val="000409D2"/>
    <w:rsid w:val="000410CB"/>
    <w:rsid w:val="00042136"/>
    <w:rsid w:val="0004254C"/>
    <w:rsid w:val="00042A6D"/>
    <w:rsid w:val="00042EED"/>
    <w:rsid w:val="000435CA"/>
    <w:rsid w:val="000436BB"/>
    <w:rsid w:val="00043714"/>
    <w:rsid w:val="00043D01"/>
    <w:rsid w:val="00044612"/>
    <w:rsid w:val="00044DEF"/>
    <w:rsid w:val="000457C9"/>
    <w:rsid w:val="0004598D"/>
    <w:rsid w:val="00045A21"/>
    <w:rsid w:val="000465DA"/>
    <w:rsid w:val="00046ECC"/>
    <w:rsid w:val="00050142"/>
    <w:rsid w:val="00050DCD"/>
    <w:rsid w:val="000515B3"/>
    <w:rsid w:val="00051EE6"/>
    <w:rsid w:val="0005215D"/>
    <w:rsid w:val="000527E7"/>
    <w:rsid w:val="00053095"/>
    <w:rsid w:val="00053F52"/>
    <w:rsid w:val="000545C8"/>
    <w:rsid w:val="000549D5"/>
    <w:rsid w:val="00055ADB"/>
    <w:rsid w:val="00056103"/>
    <w:rsid w:val="00056BBA"/>
    <w:rsid w:val="000577D0"/>
    <w:rsid w:val="00057A72"/>
    <w:rsid w:val="00057B76"/>
    <w:rsid w:val="00057C96"/>
    <w:rsid w:val="000600DF"/>
    <w:rsid w:val="000609FE"/>
    <w:rsid w:val="0006239B"/>
    <w:rsid w:val="000626FE"/>
    <w:rsid w:val="00062F62"/>
    <w:rsid w:val="000632E7"/>
    <w:rsid w:val="00063311"/>
    <w:rsid w:val="000634CF"/>
    <w:rsid w:val="00063FCE"/>
    <w:rsid w:val="000641AA"/>
    <w:rsid w:val="00064B9F"/>
    <w:rsid w:val="00065871"/>
    <w:rsid w:val="00065F6D"/>
    <w:rsid w:val="00066166"/>
    <w:rsid w:val="00066DB3"/>
    <w:rsid w:val="0006718D"/>
    <w:rsid w:val="000708BC"/>
    <w:rsid w:val="00070C57"/>
    <w:rsid w:val="00070CCC"/>
    <w:rsid w:val="00070F1B"/>
    <w:rsid w:val="00071607"/>
    <w:rsid w:val="00071634"/>
    <w:rsid w:val="000722C4"/>
    <w:rsid w:val="000729AF"/>
    <w:rsid w:val="0007340B"/>
    <w:rsid w:val="00073F06"/>
    <w:rsid w:val="00074495"/>
    <w:rsid w:val="00074B66"/>
    <w:rsid w:val="00075118"/>
    <w:rsid w:val="0007563C"/>
    <w:rsid w:val="00075967"/>
    <w:rsid w:val="00075FCE"/>
    <w:rsid w:val="00076028"/>
    <w:rsid w:val="0007625D"/>
    <w:rsid w:val="000765B7"/>
    <w:rsid w:val="00076C35"/>
    <w:rsid w:val="00077903"/>
    <w:rsid w:val="00077B60"/>
    <w:rsid w:val="0008053A"/>
    <w:rsid w:val="0008083B"/>
    <w:rsid w:val="00080D30"/>
    <w:rsid w:val="00081B36"/>
    <w:rsid w:val="00081EA5"/>
    <w:rsid w:val="0008284F"/>
    <w:rsid w:val="0008305C"/>
    <w:rsid w:val="0008425A"/>
    <w:rsid w:val="00084836"/>
    <w:rsid w:val="00084C59"/>
    <w:rsid w:val="00084EDA"/>
    <w:rsid w:val="00084FE4"/>
    <w:rsid w:val="0008506F"/>
    <w:rsid w:val="000850FD"/>
    <w:rsid w:val="00085618"/>
    <w:rsid w:val="00086169"/>
    <w:rsid w:val="00086478"/>
    <w:rsid w:val="00086DE3"/>
    <w:rsid w:val="00086DFE"/>
    <w:rsid w:val="000872DF"/>
    <w:rsid w:val="00087E50"/>
    <w:rsid w:val="00087E62"/>
    <w:rsid w:val="00091B1B"/>
    <w:rsid w:val="0009295A"/>
    <w:rsid w:val="000942FB"/>
    <w:rsid w:val="00094417"/>
    <w:rsid w:val="00094B4B"/>
    <w:rsid w:val="0009563B"/>
    <w:rsid w:val="00095BC5"/>
    <w:rsid w:val="000967FA"/>
    <w:rsid w:val="00096AA9"/>
    <w:rsid w:val="00097AAA"/>
    <w:rsid w:val="00097C4B"/>
    <w:rsid w:val="00097CE1"/>
    <w:rsid w:val="00097F5B"/>
    <w:rsid w:val="000A0241"/>
    <w:rsid w:val="000A0B28"/>
    <w:rsid w:val="000A0BAF"/>
    <w:rsid w:val="000A1CA6"/>
    <w:rsid w:val="000A251F"/>
    <w:rsid w:val="000A2713"/>
    <w:rsid w:val="000A271E"/>
    <w:rsid w:val="000A30B8"/>
    <w:rsid w:val="000A310A"/>
    <w:rsid w:val="000A3222"/>
    <w:rsid w:val="000A3240"/>
    <w:rsid w:val="000A32A8"/>
    <w:rsid w:val="000A3940"/>
    <w:rsid w:val="000A4156"/>
    <w:rsid w:val="000A4323"/>
    <w:rsid w:val="000A4F27"/>
    <w:rsid w:val="000A5E44"/>
    <w:rsid w:val="000A65CB"/>
    <w:rsid w:val="000A6795"/>
    <w:rsid w:val="000A6BF1"/>
    <w:rsid w:val="000A7F3F"/>
    <w:rsid w:val="000B0394"/>
    <w:rsid w:val="000B0525"/>
    <w:rsid w:val="000B056D"/>
    <w:rsid w:val="000B08A6"/>
    <w:rsid w:val="000B1E7A"/>
    <w:rsid w:val="000B1EFC"/>
    <w:rsid w:val="000B28A4"/>
    <w:rsid w:val="000B40FE"/>
    <w:rsid w:val="000B48FA"/>
    <w:rsid w:val="000B50C3"/>
    <w:rsid w:val="000B51EB"/>
    <w:rsid w:val="000B68BE"/>
    <w:rsid w:val="000B6A1B"/>
    <w:rsid w:val="000B6B0C"/>
    <w:rsid w:val="000B6FAC"/>
    <w:rsid w:val="000B72B3"/>
    <w:rsid w:val="000B7A32"/>
    <w:rsid w:val="000C074D"/>
    <w:rsid w:val="000C0A45"/>
    <w:rsid w:val="000C0B80"/>
    <w:rsid w:val="000C134A"/>
    <w:rsid w:val="000C18EC"/>
    <w:rsid w:val="000C199B"/>
    <w:rsid w:val="000C213C"/>
    <w:rsid w:val="000C3598"/>
    <w:rsid w:val="000C4776"/>
    <w:rsid w:val="000C4A0C"/>
    <w:rsid w:val="000C5740"/>
    <w:rsid w:val="000C5ADF"/>
    <w:rsid w:val="000C676F"/>
    <w:rsid w:val="000C7E2B"/>
    <w:rsid w:val="000D0724"/>
    <w:rsid w:val="000D1FAD"/>
    <w:rsid w:val="000D275F"/>
    <w:rsid w:val="000D2FA3"/>
    <w:rsid w:val="000D3275"/>
    <w:rsid w:val="000D3AD2"/>
    <w:rsid w:val="000D3B73"/>
    <w:rsid w:val="000D400F"/>
    <w:rsid w:val="000D417C"/>
    <w:rsid w:val="000D4229"/>
    <w:rsid w:val="000D4517"/>
    <w:rsid w:val="000D4AEE"/>
    <w:rsid w:val="000D5691"/>
    <w:rsid w:val="000D5961"/>
    <w:rsid w:val="000D5FE0"/>
    <w:rsid w:val="000D61FA"/>
    <w:rsid w:val="000D66C1"/>
    <w:rsid w:val="000D6AED"/>
    <w:rsid w:val="000D710E"/>
    <w:rsid w:val="000D78AC"/>
    <w:rsid w:val="000E0389"/>
    <w:rsid w:val="000E0623"/>
    <w:rsid w:val="000E0672"/>
    <w:rsid w:val="000E09A0"/>
    <w:rsid w:val="000E1781"/>
    <w:rsid w:val="000E22E0"/>
    <w:rsid w:val="000E2BB0"/>
    <w:rsid w:val="000E2ED1"/>
    <w:rsid w:val="000E33D2"/>
    <w:rsid w:val="000E39B2"/>
    <w:rsid w:val="000E3BCB"/>
    <w:rsid w:val="000E40FA"/>
    <w:rsid w:val="000E527F"/>
    <w:rsid w:val="000E6AD8"/>
    <w:rsid w:val="000E6C67"/>
    <w:rsid w:val="000E7FCE"/>
    <w:rsid w:val="000F00A5"/>
    <w:rsid w:val="000F0BC1"/>
    <w:rsid w:val="000F0EC7"/>
    <w:rsid w:val="000F17B3"/>
    <w:rsid w:val="000F2655"/>
    <w:rsid w:val="000F2738"/>
    <w:rsid w:val="000F28CE"/>
    <w:rsid w:val="000F3392"/>
    <w:rsid w:val="000F38F8"/>
    <w:rsid w:val="000F3C6A"/>
    <w:rsid w:val="000F4414"/>
    <w:rsid w:val="000F44E6"/>
    <w:rsid w:val="000F47B2"/>
    <w:rsid w:val="000F4A3F"/>
    <w:rsid w:val="000F4AFC"/>
    <w:rsid w:val="000F518C"/>
    <w:rsid w:val="000F5752"/>
    <w:rsid w:val="000F5D3A"/>
    <w:rsid w:val="000F61C9"/>
    <w:rsid w:val="000F62DF"/>
    <w:rsid w:val="000F67A7"/>
    <w:rsid w:val="000F68BF"/>
    <w:rsid w:val="0010005C"/>
    <w:rsid w:val="0010057F"/>
    <w:rsid w:val="00101030"/>
    <w:rsid w:val="001015E3"/>
    <w:rsid w:val="00101D90"/>
    <w:rsid w:val="00105D9E"/>
    <w:rsid w:val="00105FAE"/>
    <w:rsid w:val="001062C0"/>
    <w:rsid w:val="0010647E"/>
    <w:rsid w:val="00106C3F"/>
    <w:rsid w:val="00106F95"/>
    <w:rsid w:val="00107286"/>
    <w:rsid w:val="00110307"/>
    <w:rsid w:val="0011064F"/>
    <w:rsid w:val="00110792"/>
    <w:rsid w:val="00112BF8"/>
    <w:rsid w:val="00115586"/>
    <w:rsid w:val="00115D65"/>
    <w:rsid w:val="00116062"/>
    <w:rsid w:val="0011663F"/>
    <w:rsid w:val="00116DFE"/>
    <w:rsid w:val="00116FC2"/>
    <w:rsid w:val="0011720E"/>
    <w:rsid w:val="0011740B"/>
    <w:rsid w:val="00117966"/>
    <w:rsid w:val="00117BB9"/>
    <w:rsid w:val="00120E85"/>
    <w:rsid w:val="00121764"/>
    <w:rsid w:val="00122476"/>
    <w:rsid w:val="00122533"/>
    <w:rsid w:val="00122808"/>
    <w:rsid w:val="00122837"/>
    <w:rsid w:val="001233B1"/>
    <w:rsid w:val="00124021"/>
    <w:rsid w:val="00124B78"/>
    <w:rsid w:val="0012532E"/>
    <w:rsid w:val="0012616C"/>
    <w:rsid w:val="00126CCB"/>
    <w:rsid w:val="0012742B"/>
    <w:rsid w:val="00127BE1"/>
    <w:rsid w:val="00127D08"/>
    <w:rsid w:val="00130B00"/>
    <w:rsid w:val="00130EFA"/>
    <w:rsid w:val="00132665"/>
    <w:rsid w:val="00132D48"/>
    <w:rsid w:val="001331F0"/>
    <w:rsid w:val="0013368E"/>
    <w:rsid w:val="00134880"/>
    <w:rsid w:val="00134FEE"/>
    <w:rsid w:val="001354F6"/>
    <w:rsid w:val="0013550D"/>
    <w:rsid w:val="00136B83"/>
    <w:rsid w:val="00137A4A"/>
    <w:rsid w:val="00137B5B"/>
    <w:rsid w:val="001405A0"/>
    <w:rsid w:val="00141584"/>
    <w:rsid w:val="00142325"/>
    <w:rsid w:val="00142A5F"/>
    <w:rsid w:val="001430D4"/>
    <w:rsid w:val="00143E78"/>
    <w:rsid w:val="0014408D"/>
    <w:rsid w:val="00145844"/>
    <w:rsid w:val="00146576"/>
    <w:rsid w:val="00146746"/>
    <w:rsid w:val="00147122"/>
    <w:rsid w:val="00147585"/>
    <w:rsid w:val="00147598"/>
    <w:rsid w:val="001504F3"/>
    <w:rsid w:val="00151072"/>
    <w:rsid w:val="00151102"/>
    <w:rsid w:val="00151368"/>
    <w:rsid w:val="0015151B"/>
    <w:rsid w:val="00151567"/>
    <w:rsid w:val="001515ED"/>
    <w:rsid w:val="00151C6D"/>
    <w:rsid w:val="001532FD"/>
    <w:rsid w:val="001542AC"/>
    <w:rsid w:val="00154551"/>
    <w:rsid w:val="00154836"/>
    <w:rsid w:val="00154DCC"/>
    <w:rsid w:val="00154E10"/>
    <w:rsid w:val="00154F78"/>
    <w:rsid w:val="00155208"/>
    <w:rsid w:val="001554DA"/>
    <w:rsid w:val="001555D4"/>
    <w:rsid w:val="00155A3D"/>
    <w:rsid w:val="00155F05"/>
    <w:rsid w:val="00155F68"/>
    <w:rsid w:val="001568F7"/>
    <w:rsid w:val="00156C42"/>
    <w:rsid w:val="00160003"/>
    <w:rsid w:val="0016175C"/>
    <w:rsid w:val="001624CD"/>
    <w:rsid w:val="00163864"/>
    <w:rsid w:val="00163B33"/>
    <w:rsid w:val="00163F67"/>
    <w:rsid w:val="001641A6"/>
    <w:rsid w:val="001641F7"/>
    <w:rsid w:val="00165B81"/>
    <w:rsid w:val="00167596"/>
    <w:rsid w:val="00170FD2"/>
    <w:rsid w:val="00171C1C"/>
    <w:rsid w:val="001725A0"/>
    <w:rsid w:val="0017271D"/>
    <w:rsid w:val="00172774"/>
    <w:rsid w:val="00172976"/>
    <w:rsid w:val="00172EA0"/>
    <w:rsid w:val="0017480B"/>
    <w:rsid w:val="001750A9"/>
    <w:rsid w:val="00176389"/>
    <w:rsid w:val="001764AE"/>
    <w:rsid w:val="001779CC"/>
    <w:rsid w:val="00177C86"/>
    <w:rsid w:val="00177E7D"/>
    <w:rsid w:val="00177F2C"/>
    <w:rsid w:val="00177FD5"/>
    <w:rsid w:val="001801E0"/>
    <w:rsid w:val="00180221"/>
    <w:rsid w:val="0018143D"/>
    <w:rsid w:val="001815B9"/>
    <w:rsid w:val="0018173B"/>
    <w:rsid w:val="001817E4"/>
    <w:rsid w:val="00181B33"/>
    <w:rsid w:val="00181CB0"/>
    <w:rsid w:val="00182014"/>
    <w:rsid w:val="0018261A"/>
    <w:rsid w:val="00182DC2"/>
    <w:rsid w:val="00182F04"/>
    <w:rsid w:val="00183413"/>
    <w:rsid w:val="0018400C"/>
    <w:rsid w:val="00184052"/>
    <w:rsid w:val="001842AB"/>
    <w:rsid w:val="001846C6"/>
    <w:rsid w:val="00184C42"/>
    <w:rsid w:val="001850B7"/>
    <w:rsid w:val="00185A2E"/>
    <w:rsid w:val="001861D3"/>
    <w:rsid w:val="00186510"/>
    <w:rsid w:val="001878A4"/>
    <w:rsid w:val="00187C98"/>
    <w:rsid w:val="00187F30"/>
    <w:rsid w:val="00190048"/>
    <w:rsid w:val="001905D4"/>
    <w:rsid w:val="001905F7"/>
    <w:rsid w:val="0019081D"/>
    <w:rsid w:val="0019144F"/>
    <w:rsid w:val="00192106"/>
    <w:rsid w:val="00192674"/>
    <w:rsid w:val="001926A7"/>
    <w:rsid w:val="00192FA5"/>
    <w:rsid w:val="001937E6"/>
    <w:rsid w:val="0019468E"/>
    <w:rsid w:val="0019519B"/>
    <w:rsid w:val="00196BB5"/>
    <w:rsid w:val="00196F17"/>
    <w:rsid w:val="001A0BAB"/>
    <w:rsid w:val="001A0BDE"/>
    <w:rsid w:val="001A0FA5"/>
    <w:rsid w:val="001A211D"/>
    <w:rsid w:val="001A2C52"/>
    <w:rsid w:val="001A30A2"/>
    <w:rsid w:val="001A336E"/>
    <w:rsid w:val="001A3ECC"/>
    <w:rsid w:val="001A442B"/>
    <w:rsid w:val="001A4869"/>
    <w:rsid w:val="001A4925"/>
    <w:rsid w:val="001A4A29"/>
    <w:rsid w:val="001A4C2F"/>
    <w:rsid w:val="001A4D78"/>
    <w:rsid w:val="001A5588"/>
    <w:rsid w:val="001A6DEF"/>
    <w:rsid w:val="001A7570"/>
    <w:rsid w:val="001A78A3"/>
    <w:rsid w:val="001B031E"/>
    <w:rsid w:val="001B0630"/>
    <w:rsid w:val="001B074D"/>
    <w:rsid w:val="001B11C9"/>
    <w:rsid w:val="001B120B"/>
    <w:rsid w:val="001B1883"/>
    <w:rsid w:val="001B19F6"/>
    <w:rsid w:val="001B1F8B"/>
    <w:rsid w:val="001B249A"/>
    <w:rsid w:val="001B270F"/>
    <w:rsid w:val="001B286D"/>
    <w:rsid w:val="001B2C20"/>
    <w:rsid w:val="001B34B3"/>
    <w:rsid w:val="001B355C"/>
    <w:rsid w:val="001B3958"/>
    <w:rsid w:val="001B3BF9"/>
    <w:rsid w:val="001B3CFE"/>
    <w:rsid w:val="001B411E"/>
    <w:rsid w:val="001B4D64"/>
    <w:rsid w:val="001B4EFF"/>
    <w:rsid w:val="001B5D41"/>
    <w:rsid w:val="001B6A76"/>
    <w:rsid w:val="001B7047"/>
    <w:rsid w:val="001B796F"/>
    <w:rsid w:val="001B7A39"/>
    <w:rsid w:val="001B7E20"/>
    <w:rsid w:val="001C0154"/>
    <w:rsid w:val="001C0AAD"/>
    <w:rsid w:val="001C1F5E"/>
    <w:rsid w:val="001C2C95"/>
    <w:rsid w:val="001C31C5"/>
    <w:rsid w:val="001C3A63"/>
    <w:rsid w:val="001C3AEE"/>
    <w:rsid w:val="001C41D1"/>
    <w:rsid w:val="001C4835"/>
    <w:rsid w:val="001C4913"/>
    <w:rsid w:val="001C54A6"/>
    <w:rsid w:val="001C64AA"/>
    <w:rsid w:val="001C6AE8"/>
    <w:rsid w:val="001C71C1"/>
    <w:rsid w:val="001C74E5"/>
    <w:rsid w:val="001C7626"/>
    <w:rsid w:val="001C79F1"/>
    <w:rsid w:val="001D0075"/>
    <w:rsid w:val="001D0709"/>
    <w:rsid w:val="001D079D"/>
    <w:rsid w:val="001D111B"/>
    <w:rsid w:val="001D1171"/>
    <w:rsid w:val="001D322C"/>
    <w:rsid w:val="001D354B"/>
    <w:rsid w:val="001D35F8"/>
    <w:rsid w:val="001D4E7F"/>
    <w:rsid w:val="001D52E8"/>
    <w:rsid w:val="001D6904"/>
    <w:rsid w:val="001D78C0"/>
    <w:rsid w:val="001E0127"/>
    <w:rsid w:val="001E06FD"/>
    <w:rsid w:val="001E07F0"/>
    <w:rsid w:val="001E0963"/>
    <w:rsid w:val="001E0BFE"/>
    <w:rsid w:val="001E107E"/>
    <w:rsid w:val="001E28BE"/>
    <w:rsid w:val="001E2C57"/>
    <w:rsid w:val="001E34D1"/>
    <w:rsid w:val="001E357B"/>
    <w:rsid w:val="001E39CD"/>
    <w:rsid w:val="001E3FCC"/>
    <w:rsid w:val="001E4288"/>
    <w:rsid w:val="001E4355"/>
    <w:rsid w:val="001E47FA"/>
    <w:rsid w:val="001E4BCB"/>
    <w:rsid w:val="001E508C"/>
    <w:rsid w:val="001E509F"/>
    <w:rsid w:val="001E529B"/>
    <w:rsid w:val="001E5A29"/>
    <w:rsid w:val="001E69F6"/>
    <w:rsid w:val="001E6B04"/>
    <w:rsid w:val="001E7182"/>
    <w:rsid w:val="001E7691"/>
    <w:rsid w:val="001F0355"/>
    <w:rsid w:val="001F0540"/>
    <w:rsid w:val="001F06B3"/>
    <w:rsid w:val="001F0A5E"/>
    <w:rsid w:val="001F13C2"/>
    <w:rsid w:val="001F1AA3"/>
    <w:rsid w:val="001F2279"/>
    <w:rsid w:val="001F24C9"/>
    <w:rsid w:val="001F287A"/>
    <w:rsid w:val="001F296D"/>
    <w:rsid w:val="001F2A08"/>
    <w:rsid w:val="001F3A0E"/>
    <w:rsid w:val="001F3A4E"/>
    <w:rsid w:val="001F563C"/>
    <w:rsid w:val="001F5660"/>
    <w:rsid w:val="001F5F38"/>
    <w:rsid w:val="001F7107"/>
    <w:rsid w:val="001F77F6"/>
    <w:rsid w:val="001F7BDD"/>
    <w:rsid w:val="00200DA1"/>
    <w:rsid w:val="002016E3"/>
    <w:rsid w:val="00201E8A"/>
    <w:rsid w:val="00201EF1"/>
    <w:rsid w:val="00202629"/>
    <w:rsid w:val="00202731"/>
    <w:rsid w:val="002034CD"/>
    <w:rsid w:val="0020616E"/>
    <w:rsid w:val="00206570"/>
    <w:rsid w:val="00206B5A"/>
    <w:rsid w:val="00206C0B"/>
    <w:rsid w:val="00207C12"/>
    <w:rsid w:val="00207C72"/>
    <w:rsid w:val="00211E65"/>
    <w:rsid w:val="00211F6E"/>
    <w:rsid w:val="00212DE1"/>
    <w:rsid w:val="002133B4"/>
    <w:rsid w:val="00213AB5"/>
    <w:rsid w:val="00213D1A"/>
    <w:rsid w:val="00215554"/>
    <w:rsid w:val="00215CB7"/>
    <w:rsid w:val="00216756"/>
    <w:rsid w:val="00216CE4"/>
    <w:rsid w:val="002171DD"/>
    <w:rsid w:val="00217704"/>
    <w:rsid w:val="00217716"/>
    <w:rsid w:val="0021792C"/>
    <w:rsid w:val="002179B2"/>
    <w:rsid w:val="00217B5C"/>
    <w:rsid w:val="00217EEB"/>
    <w:rsid w:val="00221EAD"/>
    <w:rsid w:val="00221F03"/>
    <w:rsid w:val="002228E2"/>
    <w:rsid w:val="002238E3"/>
    <w:rsid w:val="00223950"/>
    <w:rsid w:val="0022417F"/>
    <w:rsid w:val="00224669"/>
    <w:rsid w:val="00224C99"/>
    <w:rsid w:val="002256D8"/>
    <w:rsid w:val="002257DA"/>
    <w:rsid w:val="002262A5"/>
    <w:rsid w:val="00226555"/>
    <w:rsid w:val="002267D0"/>
    <w:rsid w:val="00226D1F"/>
    <w:rsid w:val="0022707E"/>
    <w:rsid w:val="0022755D"/>
    <w:rsid w:val="00227DC1"/>
    <w:rsid w:val="00231551"/>
    <w:rsid w:val="002317B0"/>
    <w:rsid w:val="0023576A"/>
    <w:rsid w:val="00235B4B"/>
    <w:rsid w:val="00235B60"/>
    <w:rsid w:val="00236FCD"/>
    <w:rsid w:val="0023704A"/>
    <w:rsid w:val="002379EF"/>
    <w:rsid w:val="00237EAF"/>
    <w:rsid w:val="002401A9"/>
    <w:rsid w:val="002401F3"/>
    <w:rsid w:val="00240350"/>
    <w:rsid w:val="00240916"/>
    <w:rsid w:val="0024094B"/>
    <w:rsid w:val="00240A9F"/>
    <w:rsid w:val="00240AC2"/>
    <w:rsid w:val="00240B9B"/>
    <w:rsid w:val="00240D84"/>
    <w:rsid w:val="00241BE6"/>
    <w:rsid w:val="00241C43"/>
    <w:rsid w:val="002426CE"/>
    <w:rsid w:val="00242960"/>
    <w:rsid w:val="00243412"/>
    <w:rsid w:val="00243EEB"/>
    <w:rsid w:val="00244E3D"/>
    <w:rsid w:val="002454ED"/>
    <w:rsid w:val="00245A6C"/>
    <w:rsid w:val="002463B1"/>
    <w:rsid w:val="002463FF"/>
    <w:rsid w:val="0024680C"/>
    <w:rsid w:val="00247027"/>
    <w:rsid w:val="00247C16"/>
    <w:rsid w:val="002511DE"/>
    <w:rsid w:val="0025206A"/>
    <w:rsid w:val="00252547"/>
    <w:rsid w:val="00253185"/>
    <w:rsid w:val="0025327D"/>
    <w:rsid w:val="00253719"/>
    <w:rsid w:val="00253747"/>
    <w:rsid w:val="00253D03"/>
    <w:rsid w:val="00253D3D"/>
    <w:rsid w:val="0025534D"/>
    <w:rsid w:val="0025584A"/>
    <w:rsid w:val="00257E01"/>
    <w:rsid w:val="002601BB"/>
    <w:rsid w:val="00260385"/>
    <w:rsid w:val="002603F5"/>
    <w:rsid w:val="00260A43"/>
    <w:rsid w:val="00260F29"/>
    <w:rsid w:val="00260FFF"/>
    <w:rsid w:val="00261694"/>
    <w:rsid w:val="0026185B"/>
    <w:rsid w:val="002621CD"/>
    <w:rsid w:val="00262345"/>
    <w:rsid w:val="00262C1B"/>
    <w:rsid w:val="00262E5E"/>
    <w:rsid w:val="00263097"/>
    <w:rsid w:val="00263B60"/>
    <w:rsid w:val="0026430E"/>
    <w:rsid w:val="00264619"/>
    <w:rsid w:val="00264834"/>
    <w:rsid w:val="002648F6"/>
    <w:rsid w:val="002649CB"/>
    <w:rsid w:val="002649D2"/>
    <w:rsid w:val="00264DEC"/>
    <w:rsid w:val="00264E43"/>
    <w:rsid w:val="00265727"/>
    <w:rsid w:val="002660BB"/>
    <w:rsid w:val="002664AD"/>
    <w:rsid w:val="00266D07"/>
    <w:rsid w:val="002672BD"/>
    <w:rsid w:val="00267F15"/>
    <w:rsid w:val="0027011D"/>
    <w:rsid w:val="002705C7"/>
    <w:rsid w:val="00270656"/>
    <w:rsid w:val="00270AAC"/>
    <w:rsid w:val="002717EC"/>
    <w:rsid w:val="00272911"/>
    <w:rsid w:val="00272B37"/>
    <w:rsid w:val="0027370E"/>
    <w:rsid w:val="00273FE5"/>
    <w:rsid w:val="00274852"/>
    <w:rsid w:val="00274A28"/>
    <w:rsid w:val="00274F87"/>
    <w:rsid w:val="00275441"/>
    <w:rsid w:val="00275785"/>
    <w:rsid w:val="0027656C"/>
    <w:rsid w:val="00276817"/>
    <w:rsid w:val="002768C4"/>
    <w:rsid w:val="00276988"/>
    <w:rsid w:val="00276F22"/>
    <w:rsid w:val="00277342"/>
    <w:rsid w:val="002773A4"/>
    <w:rsid w:val="0027774F"/>
    <w:rsid w:val="0028079E"/>
    <w:rsid w:val="0028088B"/>
    <w:rsid w:val="00280A1E"/>
    <w:rsid w:val="00281053"/>
    <w:rsid w:val="0028191A"/>
    <w:rsid w:val="00281F43"/>
    <w:rsid w:val="002824D1"/>
    <w:rsid w:val="00282D33"/>
    <w:rsid w:val="00283A67"/>
    <w:rsid w:val="00283F49"/>
    <w:rsid w:val="00285444"/>
    <w:rsid w:val="00285BC5"/>
    <w:rsid w:val="00286A8B"/>
    <w:rsid w:val="00290878"/>
    <w:rsid w:val="00292866"/>
    <w:rsid w:val="00292EFB"/>
    <w:rsid w:val="00292FC7"/>
    <w:rsid w:val="00293298"/>
    <w:rsid w:val="00293A82"/>
    <w:rsid w:val="00294459"/>
    <w:rsid w:val="00294AC0"/>
    <w:rsid w:val="0029652D"/>
    <w:rsid w:val="00296538"/>
    <w:rsid w:val="00296C08"/>
    <w:rsid w:val="00297791"/>
    <w:rsid w:val="002A05C2"/>
    <w:rsid w:val="002A0975"/>
    <w:rsid w:val="002A1075"/>
    <w:rsid w:val="002A184B"/>
    <w:rsid w:val="002A1C3A"/>
    <w:rsid w:val="002A2286"/>
    <w:rsid w:val="002A2CFC"/>
    <w:rsid w:val="002A2F7E"/>
    <w:rsid w:val="002A3063"/>
    <w:rsid w:val="002A35D0"/>
    <w:rsid w:val="002A39AE"/>
    <w:rsid w:val="002A3B51"/>
    <w:rsid w:val="002A3B7B"/>
    <w:rsid w:val="002A3CF3"/>
    <w:rsid w:val="002A3D11"/>
    <w:rsid w:val="002A5E76"/>
    <w:rsid w:val="002A5F49"/>
    <w:rsid w:val="002A6717"/>
    <w:rsid w:val="002A71C5"/>
    <w:rsid w:val="002A7320"/>
    <w:rsid w:val="002A745B"/>
    <w:rsid w:val="002A7798"/>
    <w:rsid w:val="002B0961"/>
    <w:rsid w:val="002B0E7A"/>
    <w:rsid w:val="002B101C"/>
    <w:rsid w:val="002B1302"/>
    <w:rsid w:val="002B1AC0"/>
    <w:rsid w:val="002B2A37"/>
    <w:rsid w:val="002B2ADE"/>
    <w:rsid w:val="002B3CBD"/>
    <w:rsid w:val="002B4444"/>
    <w:rsid w:val="002B537C"/>
    <w:rsid w:val="002B6750"/>
    <w:rsid w:val="002B6A5D"/>
    <w:rsid w:val="002B7168"/>
    <w:rsid w:val="002C0A88"/>
    <w:rsid w:val="002C0FBB"/>
    <w:rsid w:val="002C2536"/>
    <w:rsid w:val="002C2A90"/>
    <w:rsid w:val="002C3DC3"/>
    <w:rsid w:val="002C40DA"/>
    <w:rsid w:val="002C43FB"/>
    <w:rsid w:val="002C5048"/>
    <w:rsid w:val="002C62AB"/>
    <w:rsid w:val="002C676C"/>
    <w:rsid w:val="002C6A26"/>
    <w:rsid w:val="002C7525"/>
    <w:rsid w:val="002C763E"/>
    <w:rsid w:val="002C76A7"/>
    <w:rsid w:val="002C78C5"/>
    <w:rsid w:val="002C7AF0"/>
    <w:rsid w:val="002C7FE6"/>
    <w:rsid w:val="002D0F7A"/>
    <w:rsid w:val="002D1181"/>
    <w:rsid w:val="002D215D"/>
    <w:rsid w:val="002D24F7"/>
    <w:rsid w:val="002D26BD"/>
    <w:rsid w:val="002D2791"/>
    <w:rsid w:val="002D288F"/>
    <w:rsid w:val="002D2E37"/>
    <w:rsid w:val="002D4A93"/>
    <w:rsid w:val="002D4F57"/>
    <w:rsid w:val="002D55F8"/>
    <w:rsid w:val="002D5876"/>
    <w:rsid w:val="002D5982"/>
    <w:rsid w:val="002D5A42"/>
    <w:rsid w:val="002D5F79"/>
    <w:rsid w:val="002D69D0"/>
    <w:rsid w:val="002D724D"/>
    <w:rsid w:val="002D79C2"/>
    <w:rsid w:val="002D7B33"/>
    <w:rsid w:val="002E0C7E"/>
    <w:rsid w:val="002E1201"/>
    <w:rsid w:val="002E38CB"/>
    <w:rsid w:val="002E3986"/>
    <w:rsid w:val="002E3B82"/>
    <w:rsid w:val="002E3F71"/>
    <w:rsid w:val="002E6A93"/>
    <w:rsid w:val="002E70CB"/>
    <w:rsid w:val="002E792F"/>
    <w:rsid w:val="002F04A3"/>
    <w:rsid w:val="002F0B5E"/>
    <w:rsid w:val="002F0FE1"/>
    <w:rsid w:val="002F1057"/>
    <w:rsid w:val="002F1140"/>
    <w:rsid w:val="002F1590"/>
    <w:rsid w:val="002F178A"/>
    <w:rsid w:val="002F2FA0"/>
    <w:rsid w:val="002F3038"/>
    <w:rsid w:val="002F363D"/>
    <w:rsid w:val="002F3A1F"/>
    <w:rsid w:val="002F4225"/>
    <w:rsid w:val="002F4638"/>
    <w:rsid w:val="002F4E4A"/>
    <w:rsid w:val="002F53D6"/>
    <w:rsid w:val="002F6BE4"/>
    <w:rsid w:val="002F74CA"/>
    <w:rsid w:val="003000F2"/>
    <w:rsid w:val="00300388"/>
    <w:rsid w:val="003011C7"/>
    <w:rsid w:val="003018A5"/>
    <w:rsid w:val="00302B43"/>
    <w:rsid w:val="00302E6B"/>
    <w:rsid w:val="00304441"/>
    <w:rsid w:val="003049A2"/>
    <w:rsid w:val="00304B4E"/>
    <w:rsid w:val="00305FF3"/>
    <w:rsid w:val="00306A62"/>
    <w:rsid w:val="003100E8"/>
    <w:rsid w:val="00311067"/>
    <w:rsid w:val="0031136C"/>
    <w:rsid w:val="00312172"/>
    <w:rsid w:val="003125FC"/>
    <w:rsid w:val="003132A5"/>
    <w:rsid w:val="00313846"/>
    <w:rsid w:val="00314983"/>
    <w:rsid w:val="00315235"/>
    <w:rsid w:val="0031616D"/>
    <w:rsid w:val="00316296"/>
    <w:rsid w:val="00316806"/>
    <w:rsid w:val="003170B0"/>
    <w:rsid w:val="003177C8"/>
    <w:rsid w:val="00320A63"/>
    <w:rsid w:val="0032120E"/>
    <w:rsid w:val="00321462"/>
    <w:rsid w:val="003216DA"/>
    <w:rsid w:val="003217E6"/>
    <w:rsid w:val="00322752"/>
    <w:rsid w:val="0032317B"/>
    <w:rsid w:val="00323687"/>
    <w:rsid w:val="00323ABA"/>
    <w:rsid w:val="00323F2A"/>
    <w:rsid w:val="00324381"/>
    <w:rsid w:val="00324E50"/>
    <w:rsid w:val="00325D2F"/>
    <w:rsid w:val="00327212"/>
    <w:rsid w:val="00331761"/>
    <w:rsid w:val="003319A8"/>
    <w:rsid w:val="00332AC9"/>
    <w:rsid w:val="0033362B"/>
    <w:rsid w:val="00333A21"/>
    <w:rsid w:val="00333BEF"/>
    <w:rsid w:val="003348F5"/>
    <w:rsid w:val="00334DA5"/>
    <w:rsid w:val="00335258"/>
    <w:rsid w:val="00335486"/>
    <w:rsid w:val="00335B85"/>
    <w:rsid w:val="00335C86"/>
    <w:rsid w:val="00335DE7"/>
    <w:rsid w:val="003365B7"/>
    <w:rsid w:val="003366A9"/>
    <w:rsid w:val="003369E4"/>
    <w:rsid w:val="00336CCE"/>
    <w:rsid w:val="00336F49"/>
    <w:rsid w:val="0033737C"/>
    <w:rsid w:val="00340DFA"/>
    <w:rsid w:val="00341020"/>
    <w:rsid w:val="003413AF"/>
    <w:rsid w:val="0034166B"/>
    <w:rsid w:val="0034271E"/>
    <w:rsid w:val="0034275F"/>
    <w:rsid w:val="00342A63"/>
    <w:rsid w:val="00342AC6"/>
    <w:rsid w:val="00343147"/>
    <w:rsid w:val="00343A3A"/>
    <w:rsid w:val="00343C3E"/>
    <w:rsid w:val="00344F03"/>
    <w:rsid w:val="003450CB"/>
    <w:rsid w:val="00345181"/>
    <w:rsid w:val="00345D25"/>
    <w:rsid w:val="00345F90"/>
    <w:rsid w:val="0034601C"/>
    <w:rsid w:val="0034727F"/>
    <w:rsid w:val="00347C49"/>
    <w:rsid w:val="00350186"/>
    <w:rsid w:val="003503A4"/>
    <w:rsid w:val="00351255"/>
    <w:rsid w:val="00351BCC"/>
    <w:rsid w:val="003523F6"/>
    <w:rsid w:val="0035398B"/>
    <w:rsid w:val="0035436D"/>
    <w:rsid w:val="003544D9"/>
    <w:rsid w:val="00354551"/>
    <w:rsid w:val="00354575"/>
    <w:rsid w:val="00354CCF"/>
    <w:rsid w:val="00355199"/>
    <w:rsid w:val="0035569F"/>
    <w:rsid w:val="003556DA"/>
    <w:rsid w:val="00356282"/>
    <w:rsid w:val="0035674D"/>
    <w:rsid w:val="00356AE4"/>
    <w:rsid w:val="0035704A"/>
    <w:rsid w:val="0035772F"/>
    <w:rsid w:val="003578D1"/>
    <w:rsid w:val="0036024D"/>
    <w:rsid w:val="00360793"/>
    <w:rsid w:val="0036136F"/>
    <w:rsid w:val="00362A77"/>
    <w:rsid w:val="00362BA2"/>
    <w:rsid w:val="0036365D"/>
    <w:rsid w:val="00364015"/>
    <w:rsid w:val="00364855"/>
    <w:rsid w:val="00364B45"/>
    <w:rsid w:val="00366726"/>
    <w:rsid w:val="00366997"/>
    <w:rsid w:val="00366A73"/>
    <w:rsid w:val="003670E0"/>
    <w:rsid w:val="0037049C"/>
    <w:rsid w:val="00370C0E"/>
    <w:rsid w:val="00370F33"/>
    <w:rsid w:val="00371270"/>
    <w:rsid w:val="003719E1"/>
    <w:rsid w:val="00371B16"/>
    <w:rsid w:val="00372893"/>
    <w:rsid w:val="00372D88"/>
    <w:rsid w:val="00373845"/>
    <w:rsid w:val="00373C01"/>
    <w:rsid w:val="00375265"/>
    <w:rsid w:val="00376201"/>
    <w:rsid w:val="00376555"/>
    <w:rsid w:val="00377923"/>
    <w:rsid w:val="0038065C"/>
    <w:rsid w:val="003810D9"/>
    <w:rsid w:val="00381389"/>
    <w:rsid w:val="003824DA"/>
    <w:rsid w:val="00382DBD"/>
    <w:rsid w:val="00383425"/>
    <w:rsid w:val="003839FB"/>
    <w:rsid w:val="003853D3"/>
    <w:rsid w:val="00385696"/>
    <w:rsid w:val="00385748"/>
    <w:rsid w:val="00385C55"/>
    <w:rsid w:val="0038677B"/>
    <w:rsid w:val="0038702B"/>
    <w:rsid w:val="003870F1"/>
    <w:rsid w:val="00387671"/>
    <w:rsid w:val="003876F5"/>
    <w:rsid w:val="003910D2"/>
    <w:rsid w:val="00391C0F"/>
    <w:rsid w:val="00392B28"/>
    <w:rsid w:val="00392D1B"/>
    <w:rsid w:val="0039363D"/>
    <w:rsid w:val="0039393B"/>
    <w:rsid w:val="00393976"/>
    <w:rsid w:val="00393979"/>
    <w:rsid w:val="00393FE1"/>
    <w:rsid w:val="00394C29"/>
    <w:rsid w:val="0039758F"/>
    <w:rsid w:val="003977E8"/>
    <w:rsid w:val="003A0503"/>
    <w:rsid w:val="003A0580"/>
    <w:rsid w:val="003A1FB2"/>
    <w:rsid w:val="003A21FB"/>
    <w:rsid w:val="003A2281"/>
    <w:rsid w:val="003A35EB"/>
    <w:rsid w:val="003A3938"/>
    <w:rsid w:val="003A4F0D"/>
    <w:rsid w:val="003A504E"/>
    <w:rsid w:val="003A5797"/>
    <w:rsid w:val="003A5D42"/>
    <w:rsid w:val="003A675E"/>
    <w:rsid w:val="003A7077"/>
    <w:rsid w:val="003A7763"/>
    <w:rsid w:val="003B1646"/>
    <w:rsid w:val="003B1D19"/>
    <w:rsid w:val="003B1D38"/>
    <w:rsid w:val="003B1FC4"/>
    <w:rsid w:val="003B2849"/>
    <w:rsid w:val="003B2963"/>
    <w:rsid w:val="003B2A7C"/>
    <w:rsid w:val="003B2EFF"/>
    <w:rsid w:val="003B3257"/>
    <w:rsid w:val="003B32E6"/>
    <w:rsid w:val="003B3580"/>
    <w:rsid w:val="003B3686"/>
    <w:rsid w:val="003B3723"/>
    <w:rsid w:val="003B3904"/>
    <w:rsid w:val="003B40E9"/>
    <w:rsid w:val="003B4A0F"/>
    <w:rsid w:val="003B50D8"/>
    <w:rsid w:val="003B57A5"/>
    <w:rsid w:val="003B5C0C"/>
    <w:rsid w:val="003B6608"/>
    <w:rsid w:val="003B6A9A"/>
    <w:rsid w:val="003B6E29"/>
    <w:rsid w:val="003B7721"/>
    <w:rsid w:val="003B7894"/>
    <w:rsid w:val="003B7936"/>
    <w:rsid w:val="003C037B"/>
    <w:rsid w:val="003C0665"/>
    <w:rsid w:val="003C0ACE"/>
    <w:rsid w:val="003C283A"/>
    <w:rsid w:val="003C2BCE"/>
    <w:rsid w:val="003C34AF"/>
    <w:rsid w:val="003C3902"/>
    <w:rsid w:val="003C4CFE"/>
    <w:rsid w:val="003C56DB"/>
    <w:rsid w:val="003C5B76"/>
    <w:rsid w:val="003C632F"/>
    <w:rsid w:val="003C6BEF"/>
    <w:rsid w:val="003C70A5"/>
    <w:rsid w:val="003C7719"/>
    <w:rsid w:val="003C7870"/>
    <w:rsid w:val="003D0964"/>
    <w:rsid w:val="003D1201"/>
    <w:rsid w:val="003D1805"/>
    <w:rsid w:val="003D1C64"/>
    <w:rsid w:val="003D2306"/>
    <w:rsid w:val="003D2CF8"/>
    <w:rsid w:val="003D353E"/>
    <w:rsid w:val="003D37AC"/>
    <w:rsid w:val="003D39CA"/>
    <w:rsid w:val="003D3AD3"/>
    <w:rsid w:val="003D3FFA"/>
    <w:rsid w:val="003D5473"/>
    <w:rsid w:val="003D554F"/>
    <w:rsid w:val="003D563E"/>
    <w:rsid w:val="003D5807"/>
    <w:rsid w:val="003D5B25"/>
    <w:rsid w:val="003D60A9"/>
    <w:rsid w:val="003D6B60"/>
    <w:rsid w:val="003D6EA3"/>
    <w:rsid w:val="003D6FB3"/>
    <w:rsid w:val="003D7111"/>
    <w:rsid w:val="003D7179"/>
    <w:rsid w:val="003D77D6"/>
    <w:rsid w:val="003E06DD"/>
    <w:rsid w:val="003E14F7"/>
    <w:rsid w:val="003E1D9D"/>
    <w:rsid w:val="003E2ED1"/>
    <w:rsid w:val="003E36C4"/>
    <w:rsid w:val="003E4303"/>
    <w:rsid w:val="003E4468"/>
    <w:rsid w:val="003E44B4"/>
    <w:rsid w:val="003E4ED1"/>
    <w:rsid w:val="003E5A2E"/>
    <w:rsid w:val="003E6488"/>
    <w:rsid w:val="003E691C"/>
    <w:rsid w:val="003E6BEE"/>
    <w:rsid w:val="003E6EB3"/>
    <w:rsid w:val="003E71D7"/>
    <w:rsid w:val="003E75A5"/>
    <w:rsid w:val="003F1243"/>
    <w:rsid w:val="003F13C0"/>
    <w:rsid w:val="003F1572"/>
    <w:rsid w:val="003F2681"/>
    <w:rsid w:val="003F29C5"/>
    <w:rsid w:val="003F43C0"/>
    <w:rsid w:val="003F47C5"/>
    <w:rsid w:val="003F4BBD"/>
    <w:rsid w:val="003F57B1"/>
    <w:rsid w:val="003F59F6"/>
    <w:rsid w:val="003F5E27"/>
    <w:rsid w:val="003F6238"/>
    <w:rsid w:val="003F629F"/>
    <w:rsid w:val="003F6A97"/>
    <w:rsid w:val="003F713A"/>
    <w:rsid w:val="003F7180"/>
    <w:rsid w:val="003F7359"/>
    <w:rsid w:val="003F74F4"/>
    <w:rsid w:val="003F7771"/>
    <w:rsid w:val="003F7B90"/>
    <w:rsid w:val="0040023D"/>
    <w:rsid w:val="00400B0F"/>
    <w:rsid w:val="00400E55"/>
    <w:rsid w:val="004010B0"/>
    <w:rsid w:val="004012D3"/>
    <w:rsid w:val="00401456"/>
    <w:rsid w:val="00401F75"/>
    <w:rsid w:val="004022A0"/>
    <w:rsid w:val="004022FD"/>
    <w:rsid w:val="004028CB"/>
    <w:rsid w:val="00403164"/>
    <w:rsid w:val="004049CB"/>
    <w:rsid w:val="00404F8C"/>
    <w:rsid w:val="00405DB4"/>
    <w:rsid w:val="00405DDB"/>
    <w:rsid w:val="004067E6"/>
    <w:rsid w:val="00406F84"/>
    <w:rsid w:val="00407D4D"/>
    <w:rsid w:val="004105F1"/>
    <w:rsid w:val="00410666"/>
    <w:rsid w:val="00411738"/>
    <w:rsid w:val="0041215B"/>
    <w:rsid w:val="00413A60"/>
    <w:rsid w:val="00413F67"/>
    <w:rsid w:val="0041449E"/>
    <w:rsid w:val="0041472B"/>
    <w:rsid w:val="00414843"/>
    <w:rsid w:val="00414E49"/>
    <w:rsid w:val="004150EB"/>
    <w:rsid w:val="0041689E"/>
    <w:rsid w:val="00416B6B"/>
    <w:rsid w:val="00416CE0"/>
    <w:rsid w:val="0041756C"/>
    <w:rsid w:val="004176F6"/>
    <w:rsid w:val="00421F07"/>
    <w:rsid w:val="00422492"/>
    <w:rsid w:val="004227C1"/>
    <w:rsid w:val="00422EA3"/>
    <w:rsid w:val="00423598"/>
    <w:rsid w:val="00423A53"/>
    <w:rsid w:val="00423E23"/>
    <w:rsid w:val="00424022"/>
    <w:rsid w:val="004244AD"/>
    <w:rsid w:val="00424938"/>
    <w:rsid w:val="00424F58"/>
    <w:rsid w:val="004253BA"/>
    <w:rsid w:val="00425733"/>
    <w:rsid w:val="00425BE1"/>
    <w:rsid w:val="004278DE"/>
    <w:rsid w:val="00430233"/>
    <w:rsid w:val="0043068E"/>
    <w:rsid w:val="00430AD9"/>
    <w:rsid w:val="004311B9"/>
    <w:rsid w:val="004333DD"/>
    <w:rsid w:val="00434276"/>
    <w:rsid w:val="0043444F"/>
    <w:rsid w:val="004347E7"/>
    <w:rsid w:val="004353E7"/>
    <w:rsid w:val="00435AE8"/>
    <w:rsid w:val="004362F3"/>
    <w:rsid w:val="004367C3"/>
    <w:rsid w:val="00436AFD"/>
    <w:rsid w:val="00436D9A"/>
    <w:rsid w:val="00436F19"/>
    <w:rsid w:val="004370CF"/>
    <w:rsid w:val="00437449"/>
    <w:rsid w:val="00437D4D"/>
    <w:rsid w:val="00440E2D"/>
    <w:rsid w:val="00441514"/>
    <w:rsid w:val="00442160"/>
    <w:rsid w:val="004422F8"/>
    <w:rsid w:val="00443493"/>
    <w:rsid w:val="0044361A"/>
    <w:rsid w:val="0044448A"/>
    <w:rsid w:val="00444A6B"/>
    <w:rsid w:val="00444AEA"/>
    <w:rsid w:val="00445396"/>
    <w:rsid w:val="004453D8"/>
    <w:rsid w:val="00445681"/>
    <w:rsid w:val="00445D85"/>
    <w:rsid w:val="0044632F"/>
    <w:rsid w:val="004469D9"/>
    <w:rsid w:val="00446C3A"/>
    <w:rsid w:val="004505B3"/>
    <w:rsid w:val="004508A4"/>
    <w:rsid w:val="00452EE0"/>
    <w:rsid w:val="00453877"/>
    <w:rsid w:val="0045414E"/>
    <w:rsid w:val="004545AD"/>
    <w:rsid w:val="0045468F"/>
    <w:rsid w:val="004546A2"/>
    <w:rsid w:val="00454D9C"/>
    <w:rsid w:val="00454E4B"/>
    <w:rsid w:val="00455597"/>
    <w:rsid w:val="004557E4"/>
    <w:rsid w:val="00455B3A"/>
    <w:rsid w:val="00455BD8"/>
    <w:rsid w:val="00455C70"/>
    <w:rsid w:val="00455F7D"/>
    <w:rsid w:val="00456464"/>
    <w:rsid w:val="00456F8D"/>
    <w:rsid w:val="004577C8"/>
    <w:rsid w:val="0046012A"/>
    <w:rsid w:val="00460F7A"/>
    <w:rsid w:val="00460F80"/>
    <w:rsid w:val="004628CE"/>
    <w:rsid w:val="00463084"/>
    <w:rsid w:val="00463743"/>
    <w:rsid w:val="00463B5A"/>
    <w:rsid w:val="00464383"/>
    <w:rsid w:val="004655DE"/>
    <w:rsid w:val="00466302"/>
    <w:rsid w:val="00466B8A"/>
    <w:rsid w:val="00466C16"/>
    <w:rsid w:val="00466D1C"/>
    <w:rsid w:val="00466EBF"/>
    <w:rsid w:val="00467244"/>
    <w:rsid w:val="00467C71"/>
    <w:rsid w:val="00470848"/>
    <w:rsid w:val="00470EF6"/>
    <w:rsid w:val="00471A05"/>
    <w:rsid w:val="00471B5E"/>
    <w:rsid w:val="00472CF4"/>
    <w:rsid w:val="00474831"/>
    <w:rsid w:val="00474ED5"/>
    <w:rsid w:val="00475561"/>
    <w:rsid w:val="00475570"/>
    <w:rsid w:val="004757DB"/>
    <w:rsid w:val="004760C7"/>
    <w:rsid w:val="004770A5"/>
    <w:rsid w:val="004770D4"/>
    <w:rsid w:val="0047721A"/>
    <w:rsid w:val="0047754D"/>
    <w:rsid w:val="00477887"/>
    <w:rsid w:val="00481BE8"/>
    <w:rsid w:val="00482B0A"/>
    <w:rsid w:val="00482BC1"/>
    <w:rsid w:val="00482F56"/>
    <w:rsid w:val="00483112"/>
    <w:rsid w:val="00483435"/>
    <w:rsid w:val="00483990"/>
    <w:rsid w:val="00483DF0"/>
    <w:rsid w:val="0048447E"/>
    <w:rsid w:val="004845FB"/>
    <w:rsid w:val="004847DB"/>
    <w:rsid w:val="00484B54"/>
    <w:rsid w:val="00484F47"/>
    <w:rsid w:val="00485D77"/>
    <w:rsid w:val="00486DFE"/>
    <w:rsid w:val="004874E7"/>
    <w:rsid w:val="00487E62"/>
    <w:rsid w:val="00487F9E"/>
    <w:rsid w:val="00490370"/>
    <w:rsid w:val="00492383"/>
    <w:rsid w:val="00492593"/>
    <w:rsid w:val="00492862"/>
    <w:rsid w:val="00492D56"/>
    <w:rsid w:val="00493FAF"/>
    <w:rsid w:val="0049428F"/>
    <w:rsid w:val="00494400"/>
    <w:rsid w:val="00494EE5"/>
    <w:rsid w:val="004969AB"/>
    <w:rsid w:val="0049753B"/>
    <w:rsid w:val="004978A5"/>
    <w:rsid w:val="004978B6"/>
    <w:rsid w:val="00497F93"/>
    <w:rsid w:val="004A022D"/>
    <w:rsid w:val="004A03DE"/>
    <w:rsid w:val="004A059E"/>
    <w:rsid w:val="004A06CA"/>
    <w:rsid w:val="004A15A9"/>
    <w:rsid w:val="004A24B0"/>
    <w:rsid w:val="004A2C8F"/>
    <w:rsid w:val="004A2FE8"/>
    <w:rsid w:val="004A3043"/>
    <w:rsid w:val="004A3499"/>
    <w:rsid w:val="004A38B6"/>
    <w:rsid w:val="004A3964"/>
    <w:rsid w:val="004A5716"/>
    <w:rsid w:val="004A587E"/>
    <w:rsid w:val="004A5981"/>
    <w:rsid w:val="004A5F64"/>
    <w:rsid w:val="004A5FB9"/>
    <w:rsid w:val="004A6625"/>
    <w:rsid w:val="004A69B6"/>
    <w:rsid w:val="004A7619"/>
    <w:rsid w:val="004A7FC7"/>
    <w:rsid w:val="004B158A"/>
    <w:rsid w:val="004B2BE1"/>
    <w:rsid w:val="004B2DA4"/>
    <w:rsid w:val="004B343F"/>
    <w:rsid w:val="004B3499"/>
    <w:rsid w:val="004B3720"/>
    <w:rsid w:val="004B394D"/>
    <w:rsid w:val="004B3C7A"/>
    <w:rsid w:val="004B4134"/>
    <w:rsid w:val="004B41F7"/>
    <w:rsid w:val="004B47F8"/>
    <w:rsid w:val="004B5286"/>
    <w:rsid w:val="004B533F"/>
    <w:rsid w:val="004B70AC"/>
    <w:rsid w:val="004B784A"/>
    <w:rsid w:val="004C0257"/>
    <w:rsid w:val="004C0389"/>
    <w:rsid w:val="004C041E"/>
    <w:rsid w:val="004C0C3C"/>
    <w:rsid w:val="004C1B45"/>
    <w:rsid w:val="004C2656"/>
    <w:rsid w:val="004C30A5"/>
    <w:rsid w:val="004C31DD"/>
    <w:rsid w:val="004C3D27"/>
    <w:rsid w:val="004C53E5"/>
    <w:rsid w:val="004C551E"/>
    <w:rsid w:val="004C7B43"/>
    <w:rsid w:val="004D08EA"/>
    <w:rsid w:val="004D0C65"/>
    <w:rsid w:val="004D2FE6"/>
    <w:rsid w:val="004D3BDB"/>
    <w:rsid w:val="004D41BC"/>
    <w:rsid w:val="004D4C00"/>
    <w:rsid w:val="004D4F5B"/>
    <w:rsid w:val="004D504C"/>
    <w:rsid w:val="004D6589"/>
    <w:rsid w:val="004D6D10"/>
    <w:rsid w:val="004D7FB0"/>
    <w:rsid w:val="004E1240"/>
    <w:rsid w:val="004E1B01"/>
    <w:rsid w:val="004E2346"/>
    <w:rsid w:val="004E271C"/>
    <w:rsid w:val="004E2B42"/>
    <w:rsid w:val="004E37A4"/>
    <w:rsid w:val="004E38A7"/>
    <w:rsid w:val="004E3958"/>
    <w:rsid w:val="004E4540"/>
    <w:rsid w:val="004E4A3B"/>
    <w:rsid w:val="004E4A66"/>
    <w:rsid w:val="004E5967"/>
    <w:rsid w:val="004E5BA0"/>
    <w:rsid w:val="004E5ED2"/>
    <w:rsid w:val="004E6233"/>
    <w:rsid w:val="004E6924"/>
    <w:rsid w:val="004E6EBD"/>
    <w:rsid w:val="004E7733"/>
    <w:rsid w:val="004F066F"/>
    <w:rsid w:val="004F0F9B"/>
    <w:rsid w:val="004F11E8"/>
    <w:rsid w:val="004F1246"/>
    <w:rsid w:val="004F1373"/>
    <w:rsid w:val="004F1CAC"/>
    <w:rsid w:val="004F1D96"/>
    <w:rsid w:val="004F1F62"/>
    <w:rsid w:val="004F33E8"/>
    <w:rsid w:val="004F3635"/>
    <w:rsid w:val="004F4241"/>
    <w:rsid w:val="004F50AF"/>
    <w:rsid w:val="004F6444"/>
    <w:rsid w:val="004F7150"/>
    <w:rsid w:val="004F73DC"/>
    <w:rsid w:val="004F77F5"/>
    <w:rsid w:val="004F7C90"/>
    <w:rsid w:val="004F7FDD"/>
    <w:rsid w:val="00500555"/>
    <w:rsid w:val="00500E0E"/>
    <w:rsid w:val="005010C2"/>
    <w:rsid w:val="00501972"/>
    <w:rsid w:val="0050218E"/>
    <w:rsid w:val="00503865"/>
    <w:rsid w:val="00504A1B"/>
    <w:rsid w:val="005058E7"/>
    <w:rsid w:val="00505F03"/>
    <w:rsid w:val="005078C7"/>
    <w:rsid w:val="00511675"/>
    <w:rsid w:val="005116F2"/>
    <w:rsid w:val="00511D69"/>
    <w:rsid w:val="00512085"/>
    <w:rsid w:val="00513BE1"/>
    <w:rsid w:val="005142E4"/>
    <w:rsid w:val="00514517"/>
    <w:rsid w:val="00514825"/>
    <w:rsid w:val="005148EA"/>
    <w:rsid w:val="00514E43"/>
    <w:rsid w:val="00515208"/>
    <w:rsid w:val="0051563B"/>
    <w:rsid w:val="00515660"/>
    <w:rsid w:val="0051597D"/>
    <w:rsid w:val="00515EFE"/>
    <w:rsid w:val="0051600B"/>
    <w:rsid w:val="0051618E"/>
    <w:rsid w:val="005162FD"/>
    <w:rsid w:val="00516846"/>
    <w:rsid w:val="00517051"/>
    <w:rsid w:val="0051726F"/>
    <w:rsid w:val="00517339"/>
    <w:rsid w:val="00520B34"/>
    <w:rsid w:val="00520C68"/>
    <w:rsid w:val="00521099"/>
    <w:rsid w:val="00521FE5"/>
    <w:rsid w:val="00522307"/>
    <w:rsid w:val="005224DF"/>
    <w:rsid w:val="0052263F"/>
    <w:rsid w:val="00522EBF"/>
    <w:rsid w:val="00523097"/>
    <w:rsid w:val="0052327E"/>
    <w:rsid w:val="00523DA2"/>
    <w:rsid w:val="005243E8"/>
    <w:rsid w:val="005248C2"/>
    <w:rsid w:val="00525013"/>
    <w:rsid w:val="00525AF9"/>
    <w:rsid w:val="00525F26"/>
    <w:rsid w:val="00525F81"/>
    <w:rsid w:val="00527C03"/>
    <w:rsid w:val="00530C57"/>
    <w:rsid w:val="005319F0"/>
    <w:rsid w:val="00532897"/>
    <w:rsid w:val="00532C82"/>
    <w:rsid w:val="00532FE7"/>
    <w:rsid w:val="005339BC"/>
    <w:rsid w:val="00534599"/>
    <w:rsid w:val="005347F7"/>
    <w:rsid w:val="005353A4"/>
    <w:rsid w:val="00536006"/>
    <w:rsid w:val="00536E67"/>
    <w:rsid w:val="00537225"/>
    <w:rsid w:val="005372FD"/>
    <w:rsid w:val="00537861"/>
    <w:rsid w:val="00537E3B"/>
    <w:rsid w:val="005401E5"/>
    <w:rsid w:val="00540571"/>
    <w:rsid w:val="005408FD"/>
    <w:rsid w:val="0054112E"/>
    <w:rsid w:val="0054163D"/>
    <w:rsid w:val="00541BF1"/>
    <w:rsid w:val="00541F58"/>
    <w:rsid w:val="00542050"/>
    <w:rsid w:val="00542542"/>
    <w:rsid w:val="0054267D"/>
    <w:rsid w:val="005426AF"/>
    <w:rsid w:val="005428CF"/>
    <w:rsid w:val="00543B94"/>
    <w:rsid w:val="00543E5F"/>
    <w:rsid w:val="00544111"/>
    <w:rsid w:val="005447FA"/>
    <w:rsid w:val="00544C81"/>
    <w:rsid w:val="00546CD3"/>
    <w:rsid w:val="00547795"/>
    <w:rsid w:val="005502EB"/>
    <w:rsid w:val="005504BF"/>
    <w:rsid w:val="00550979"/>
    <w:rsid w:val="00550A96"/>
    <w:rsid w:val="00550EEB"/>
    <w:rsid w:val="005518C6"/>
    <w:rsid w:val="005521EF"/>
    <w:rsid w:val="0055274C"/>
    <w:rsid w:val="0055290D"/>
    <w:rsid w:val="00552F79"/>
    <w:rsid w:val="00553433"/>
    <w:rsid w:val="005537D5"/>
    <w:rsid w:val="00553859"/>
    <w:rsid w:val="00553C3F"/>
    <w:rsid w:val="00553CC7"/>
    <w:rsid w:val="00555582"/>
    <w:rsid w:val="0055565B"/>
    <w:rsid w:val="00556060"/>
    <w:rsid w:val="00557058"/>
    <w:rsid w:val="00557C0A"/>
    <w:rsid w:val="00557E7E"/>
    <w:rsid w:val="005602FD"/>
    <w:rsid w:val="00560387"/>
    <w:rsid w:val="0056040D"/>
    <w:rsid w:val="005608EA"/>
    <w:rsid w:val="005628B5"/>
    <w:rsid w:val="005637D4"/>
    <w:rsid w:val="00563C20"/>
    <w:rsid w:val="00564132"/>
    <w:rsid w:val="005644F2"/>
    <w:rsid w:val="00564D0C"/>
    <w:rsid w:val="005677CB"/>
    <w:rsid w:val="005711A2"/>
    <w:rsid w:val="005711C3"/>
    <w:rsid w:val="00572D60"/>
    <w:rsid w:val="0057477D"/>
    <w:rsid w:val="005752AB"/>
    <w:rsid w:val="005753BE"/>
    <w:rsid w:val="0057551F"/>
    <w:rsid w:val="005756E6"/>
    <w:rsid w:val="00575C54"/>
    <w:rsid w:val="00577CF6"/>
    <w:rsid w:val="0058027F"/>
    <w:rsid w:val="0058098C"/>
    <w:rsid w:val="0058150D"/>
    <w:rsid w:val="00581ECA"/>
    <w:rsid w:val="00582D09"/>
    <w:rsid w:val="00583BC2"/>
    <w:rsid w:val="005849A5"/>
    <w:rsid w:val="0058530F"/>
    <w:rsid w:val="00585FB0"/>
    <w:rsid w:val="00587180"/>
    <w:rsid w:val="00587EFB"/>
    <w:rsid w:val="0059065E"/>
    <w:rsid w:val="00590EA1"/>
    <w:rsid w:val="005910DE"/>
    <w:rsid w:val="00594F41"/>
    <w:rsid w:val="00594F48"/>
    <w:rsid w:val="00594FCE"/>
    <w:rsid w:val="00595586"/>
    <w:rsid w:val="005965D3"/>
    <w:rsid w:val="005971D6"/>
    <w:rsid w:val="005977B3"/>
    <w:rsid w:val="005A08DF"/>
    <w:rsid w:val="005A0A49"/>
    <w:rsid w:val="005A0C05"/>
    <w:rsid w:val="005A0E42"/>
    <w:rsid w:val="005A11DB"/>
    <w:rsid w:val="005A1B2B"/>
    <w:rsid w:val="005A24F0"/>
    <w:rsid w:val="005A2961"/>
    <w:rsid w:val="005A3491"/>
    <w:rsid w:val="005A364B"/>
    <w:rsid w:val="005A3888"/>
    <w:rsid w:val="005A38F9"/>
    <w:rsid w:val="005A3BE2"/>
    <w:rsid w:val="005A3F3E"/>
    <w:rsid w:val="005A400C"/>
    <w:rsid w:val="005A5735"/>
    <w:rsid w:val="005A5A04"/>
    <w:rsid w:val="005A6613"/>
    <w:rsid w:val="005A671C"/>
    <w:rsid w:val="005B2CD1"/>
    <w:rsid w:val="005B2ED2"/>
    <w:rsid w:val="005B3A8F"/>
    <w:rsid w:val="005B4163"/>
    <w:rsid w:val="005B4A68"/>
    <w:rsid w:val="005B4E86"/>
    <w:rsid w:val="005B4F3C"/>
    <w:rsid w:val="005B7BAE"/>
    <w:rsid w:val="005C019C"/>
    <w:rsid w:val="005C0297"/>
    <w:rsid w:val="005C0933"/>
    <w:rsid w:val="005C0A88"/>
    <w:rsid w:val="005C1254"/>
    <w:rsid w:val="005C1573"/>
    <w:rsid w:val="005C23B0"/>
    <w:rsid w:val="005C2A27"/>
    <w:rsid w:val="005C2BFC"/>
    <w:rsid w:val="005C356E"/>
    <w:rsid w:val="005C36DF"/>
    <w:rsid w:val="005C3DF1"/>
    <w:rsid w:val="005C3FF5"/>
    <w:rsid w:val="005C4879"/>
    <w:rsid w:val="005C4F9A"/>
    <w:rsid w:val="005C5139"/>
    <w:rsid w:val="005C53FE"/>
    <w:rsid w:val="005C61C1"/>
    <w:rsid w:val="005C6B0C"/>
    <w:rsid w:val="005C795D"/>
    <w:rsid w:val="005C7D04"/>
    <w:rsid w:val="005D0206"/>
    <w:rsid w:val="005D0942"/>
    <w:rsid w:val="005D0E77"/>
    <w:rsid w:val="005D1057"/>
    <w:rsid w:val="005D21C0"/>
    <w:rsid w:val="005D2551"/>
    <w:rsid w:val="005D3560"/>
    <w:rsid w:val="005D3C6D"/>
    <w:rsid w:val="005D457C"/>
    <w:rsid w:val="005D4FFD"/>
    <w:rsid w:val="005D5EA5"/>
    <w:rsid w:val="005D5F17"/>
    <w:rsid w:val="005D5F4E"/>
    <w:rsid w:val="005D6106"/>
    <w:rsid w:val="005D6301"/>
    <w:rsid w:val="005D6378"/>
    <w:rsid w:val="005D6573"/>
    <w:rsid w:val="005D677E"/>
    <w:rsid w:val="005D68F1"/>
    <w:rsid w:val="005D7460"/>
    <w:rsid w:val="005D7890"/>
    <w:rsid w:val="005E03D8"/>
    <w:rsid w:val="005E0A01"/>
    <w:rsid w:val="005E2B75"/>
    <w:rsid w:val="005E2C4D"/>
    <w:rsid w:val="005E3079"/>
    <w:rsid w:val="005E3340"/>
    <w:rsid w:val="005E3730"/>
    <w:rsid w:val="005E40BE"/>
    <w:rsid w:val="005E42C9"/>
    <w:rsid w:val="005E4747"/>
    <w:rsid w:val="005E53E0"/>
    <w:rsid w:val="005E5CE6"/>
    <w:rsid w:val="005E6287"/>
    <w:rsid w:val="005E6AE1"/>
    <w:rsid w:val="005F0068"/>
    <w:rsid w:val="005F061D"/>
    <w:rsid w:val="005F0786"/>
    <w:rsid w:val="005F114C"/>
    <w:rsid w:val="005F15BC"/>
    <w:rsid w:val="005F2142"/>
    <w:rsid w:val="005F29B4"/>
    <w:rsid w:val="005F2CA8"/>
    <w:rsid w:val="005F542E"/>
    <w:rsid w:val="005F5D9E"/>
    <w:rsid w:val="005F60D7"/>
    <w:rsid w:val="005F62F7"/>
    <w:rsid w:val="005F65FF"/>
    <w:rsid w:val="005F6A29"/>
    <w:rsid w:val="005F6D2D"/>
    <w:rsid w:val="005F7083"/>
    <w:rsid w:val="005F7122"/>
    <w:rsid w:val="006017FC"/>
    <w:rsid w:val="00601BF8"/>
    <w:rsid w:val="006022AD"/>
    <w:rsid w:val="006034A6"/>
    <w:rsid w:val="0060437B"/>
    <w:rsid w:val="0060475E"/>
    <w:rsid w:val="0060741E"/>
    <w:rsid w:val="006078A4"/>
    <w:rsid w:val="00607D31"/>
    <w:rsid w:val="00611753"/>
    <w:rsid w:val="00611CC8"/>
    <w:rsid w:val="00612068"/>
    <w:rsid w:val="006120D5"/>
    <w:rsid w:val="00612717"/>
    <w:rsid w:val="00613013"/>
    <w:rsid w:val="00613436"/>
    <w:rsid w:val="006141E0"/>
    <w:rsid w:val="00615540"/>
    <w:rsid w:val="0061733D"/>
    <w:rsid w:val="00617439"/>
    <w:rsid w:val="006179FF"/>
    <w:rsid w:val="00617FD5"/>
    <w:rsid w:val="006202DB"/>
    <w:rsid w:val="00622611"/>
    <w:rsid w:val="00623531"/>
    <w:rsid w:val="00623A43"/>
    <w:rsid w:val="00624D66"/>
    <w:rsid w:val="00624E89"/>
    <w:rsid w:val="00625EC6"/>
    <w:rsid w:val="0062658F"/>
    <w:rsid w:val="006271EA"/>
    <w:rsid w:val="00627216"/>
    <w:rsid w:val="00627584"/>
    <w:rsid w:val="00627639"/>
    <w:rsid w:val="00627976"/>
    <w:rsid w:val="006279CC"/>
    <w:rsid w:val="00627E0A"/>
    <w:rsid w:val="006302C4"/>
    <w:rsid w:val="00630311"/>
    <w:rsid w:val="0063096C"/>
    <w:rsid w:val="00630E62"/>
    <w:rsid w:val="00630FC6"/>
    <w:rsid w:val="0063220E"/>
    <w:rsid w:val="00632467"/>
    <w:rsid w:val="0063279B"/>
    <w:rsid w:val="00633608"/>
    <w:rsid w:val="00633762"/>
    <w:rsid w:val="0063425F"/>
    <w:rsid w:val="006347F2"/>
    <w:rsid w:val="00634F3F"/>
    <w:rsid w:val="006351FB"/>
    <w:rsid w:val="0063526F"/>
    <w:rsid w:val="0063647C"/>
    <w:rsid w:val="00636518"/>
    <w:rsid w:val="00640249"/>
    <w:rsid w:val="00640750"/>
    <w:rsid w:val="00640A9F"/>
    <w:rsid w:val="00640BB2"/>
    <w:rsid w:val="00640ED7"/>
    <w:rsid w:val="00641423"/>
    <w:rsid w:val="00641C52"/>
    <w:rsid w:val="00642C2D"/>
    <w:rsid w:val="00643C40"/>
    <w:rsid w:val="00643E50"/>
    <w:rsid w:val="00643FC4"/>
    <w:rsid w:val="00644CC5"/>
    <w:rsid w:val="006456D4"/>
    <w:rsid w:val="00645B01"/>
    <w:rsid w:val="006462AE"/>
    <w:rsid w:val="006472C6"/>
    <w:rsid w:val="00650F0D"/>
    <w:rsid w:val="00650F52"/>
    <w:rsid w:val="00650FC0"/>
    <w:rsid w:val="00651984"/>
    <w:rsid w:val="00651E23"/>
    <w:rsid w:val="00651E35"/>
    <w:rsid w:val="0065349A"/>
    <w:rsid w:val="0065392C"/>
    <w:rsid w:val="00653CAC"/>
    <w:rsid w:val="00654532"/>
    <w:rsid w:val="00654865"/>
    <w:rsid w:val="00654866"/>
    <w:rsid w:val="00654900"/>
    <w:rsid w:val="00654AE1"/>
    <w:rsid w:val="00654B5D"/>
    <w:rsid w:val="00654C2B"/>
    <w:rsid w:val="00656716"/>
    <w:rsid w:val="0065697F"/>
    <w:rsid w:val="00660302"/>
    <w:rsid w:val="00660610"/>
    <w:rsid w:val="00660753"/>
    <w:rsid w:val="00660F49"/>
    <w:rsid w:val="006615A0"/>
    <w:rsid w:val="006617C5"/>
    <w:rsid w:val="00661868"/>
    <w:rsid w:val="00661AEE"/>
    <w:rsid w:val="006634D9"/>
    <w:rsid w:val="006636F8"/>
    <w:rsid w:val="00663860"/>
    <w:rsid w:val="006651BB"/>
    <w:rsid w:val="00665855"/>
    <w:rsid w:val="006663EC"/>
    <w:rsid w:val="00667AC9"/>
    <w:rsid w:val="00667C77"/>
    <w:rsid w:val="0067004F"/>
    <w:rsid w:val="0067023D"/>
    <w:rsid w:val="00671898"/>
    <w:rsid w:val="00672498"/>
    <w:rsid w:val="006737CF"/>
    <w:rsid w:val="00674349"/>
    <w:rsid w:val="006744B5"/>
    <w:rsid w:val="006744C3"/>
    <w:rsid w:val="00674629"/>
    <w:rsid w:val="00676034"/>
    <w:rsid w:val="0067641F"/>
    <w:rsid w:val="00677159"/>
    <w:rsid w:val="00677173"/>
    <w:rsid w:val="00677487"/>
    <w:rsid w:val="006779A3"/>
    <w:rsid w:val="00677A5C"/>
    <w:rsid w:val="00677BED"/>
    <w:rsid w:val="00681020"/>
    <w:rsid w:val="006826FE"/>
    <w:rsid w:val="00682E51"/>
    <w:rsid w:val="0068304C"/>
    <w:rsid w:val="0068361A"/>
    <w:rsid w:val="00683707"/>
    <w:rsid w:val="00684D08"/>
    <w:rsid w:val="00685956"/>
    <w:rsid w:val="006863FE"/>
    <w:rsid w:val="00686A78"/>
    <w:rsid w:val="00686DF2"/>
    <w:rsid w:val="00687808"/>
    <w:rsid w:val="006906DF"/>
    <w:rsid w:val="00690793"/>
    <w:rsid w:val="00690CD6"/>
    <w:rsid w:val="00691354"/>
    <w:rsid w:val="00691606"/>
    <w:rsid w:val="00691F12"/>
    <w:rsid w:val="00691F41"/>
    <w:rsid w:val="006938B2"/>
    <w:rsid w:val="00693B26"/>
    <w:rsid w:val="00693EDD"/>
    <w:rsid w:val="00694163"/>
    <w:rsid w:val="00694997"/>
    <w:rsid w:val="00694E1E"/>
    <w:rsid w:val="00695578"/>
    <w:rsid w:val="006974B2"/>
    <w:rsid w:val="00697749"/>
    <w:rsid w:val="00697D54"/>
    <w:rsid w:val="006A0235"/>
    <w:rsid w:val="006A2B7F"/>
    <w:rsid w:val="006A2BDA"/>
    <w:rsid w:val="006A3042"/>
    <w:rsid w:val="006A36A3"/>
    <w:rsid w:val="006A3BEC"/>
    <w:rsid w:val="006A4720"/>
    <w:rsid w:val="006A48D9"/>
    <w:rsid w:val="006A561E"/>
    <w:rsid w:val="006A5AC7"/>
    <w:rsid w:val="006A66BD"/>
    <w:rsid w:val="006A731F"/>
    <w:rsid w:val="006A7F93"/>
    <w:rsid w:val="006B03DA"/>
    <w:rsid w:val="006B0B0B"/>
    <w:rsid w:val="006B0BF6"/>
    <w:rsid w:val="006B0D29"/>
    <w:rsid w:val="006B1773"/>
    <w:rsid w:val="006B33B1"/>
    <w:rsid w:val="006B3691"/>
    <w:rsid w:val="006B3914"/>
    <w:rsid w:val="006B4C6E"/>
    <w:rsid w:val="006B5723"/>
    <w:rsid w:val="006B598B"/>
    <w:rsid w:val="006B60AA"/>
    <w:rsid w:val="006B6580"/>
    <w:rsid w:val="006B666D"/>
    <w:rsid w:val="006B6A80"/>
    <w:rsid w:val="006B72A3"/>
    <w:rsid w:val="006B76EA"/>
    <w:rsid w:val="006C0200"/>
    <w:rsid w:val="006C092A"/>
    <w:rsid w:val="006C0E51"/>
    <w:rsid w:val="006C15DA"/>
    <w:rsid w:val="006C2540"/>
    <w:rsid w:val="006C2F51"/>
    <w:rsid w:val="006C3885"/>
    <w:rsid w:val="006C3A20"/>
    <w:rsid w:val="006C3A5B"/>
    <w:rsid w:val="006C53AA"/>
    <w:rsid w:val="006C572B"/>
    <w:rsid w:val="006C5813"/>
    <w:rsid w:val="006C5DF4"/>
    <w:rsid w:val="006C645C"/>
    <w:rsid w:val="006C6559"/>
    <w:rsid w:val="006C69B2"/>
    <w:rsid w:val="006C6E88"/>
    <w:rsid w:val="006C74F3"/>
    <w:rsid w:val="006C75F1"/>
    <w:rsid w:val="006C7C36"/>
    <w:rsid w:val="006D038C"/>
    <w:rsid w:val="006D0586"/>
    <w:rsid w:val="006D05FD"/>
    <w:rsid w:val="006D150F"/>
    <w:rsid w:val="006D2D30"/>
    <w:rsid w:val="006D3522"/>
    <w:rsid w:val="006D3E5D"/>
    <w:rsid w:val="006D4A9A"/>
    <w:rsid w:val="006D4BF2"/>
    <w:rsid w:val="006D64AF"/>
    <w:rsid w:val="006D6E53"/>
    <w:rsid w:val="006D78EC"/>
    <w:rsid w:val="006E111A"/>
    <w:rsid w:val="006E13FE"/>
    <w:rsid w:val="006E1D42"/>
    <w:rsid w:val="006E1E39"/>
    <w:rsid w:val="006E2695"/>
    <w:rsid w:val="006E26BE"/>
    <w:rsid w:val="006E2E96"/>
    <w:rsid w:val="006E3213"/>
    <w:rsid w:val="006E405A"/>
    <w:rsid w:val="006E4B63"/>
    <w:rsid w:val="006E53AB"/>
    <w:rsid w:val="006E6D40"/>
    <w:rsid w:val="006E7270"/>
    <w:rsid w:val="006E778D"/>
    <w:rsid w:val="006E7DC0"/>
    <w:rsid w:val="006F0B02"/>
    <w:rsid w:val="006F0BD6"/>
    <w:rsid w:val="006F0C43"/>
    <w:rsid w:val="006F2282"/>
    <w:rsid w:val="006F2500"/>
    <w:rsid w:val="006F27E8"/>
    <w:rsid w:val="006F32A6"/>
    <w:rsid w:val="006F4A25"/>
    <w:rsid w:val="006F619F"/>
    <w:rsid w:val="006F656E"/>
    <w:rsid w:val="006F6C75"/>
    <w:rsid w:val="006F6E0C"/>
    <w:rsid w:val="006F6E57"/>
    <w:rsid w:val="006F73AA"/>
    <w:rsid w:val="006F75A1"/>
    <w:rsid w:val="006F75C1"/>
    <w:rsid w:val="006F7ABE"/>
    <w:rsid w:val="006F7C1A"/>
    <w:rsid w:val="006F7D26"/>
    <w:rsid w:val="007008CD"/>
    <w:rsid w:val="00700A5F"/>
    <w:rsid w:val="00700C03"/>
    <w:rsid w:val="007010ED"/>
    <w:rsid w:val="00701229"/>
    <w:rsid w:val="00702181"/>
    <w:rsid w:val="00703601"/>
    <w:rsid w:val="007039E6"/>
    <w:rsid w:val="00703C81"/>
    <w:rsid w:val="00704FCC"/>
    <w:rsid w:val="00706933"/>
    <w:rsid w:val="00707DFB"/>
    <w:rsid w:val="00710B71"/>
    <w:rsid w:val="0071135D"/>
    <w:rsid w:val="007119C3"/>
    <w:rsid w:val="00711E10"/>
    <w:rsid w:val="00711EAC"/>
    <w:rsid w:val="00713FD4"/>
    <w:rsid w:val="00714159"/>
    <w:rsid w:val="00714468"/>
    <w:rsid w:val="00714D49"/>
    <w:rsid w:val="007156AC"/>
    <w:rsid w:val="00715FEF"/>
    <w:rsid w:val="00716B01"/>
    <w:rsid w:val="00716DA9"/>
    <w:rsid w:val="00717259"/>
    <w:rsid w:val="0072027B"/>
    <w:rsid w:val="007206AB"/>
    <w:rsid w:val="00720807"/>
    <w:rsid w:val="00722142"/>
    <w:rsid w:val="00722349"/>
    <w:rsid w:val="00723650"/>
    <w:rsid w:val="00723A3B"/>
    <w:rsid w:val="00723B96"/>
    <w:rsid w:val="00725F22"/>
    <w:rsid w:val="00725FD3"/>
    <w:rsid w:val="0072624E"/>
    <w:rsid w:val="0072675F"/>
    <w:rsid w:val="0072762B"/>
    <w:rsid w:val="00730128"/>
    <w:rsid w:val="00730169"/>
    <w:rsid w:val="00730808"/>
    <w:rsid w:val="007312B9"/>
    <w:rsid w:val="00731F26"/>
    <w:rsid w:val="007322F0"/>
    <w:rsid w:val="00732C11"/>
    <w:rsid w:val="00733CE4"/>
    <w:rsid w:val="007341E2"/>
    <w:rsid w:val="0073424A"/>
    <w:rsid w:val="00734B30"/>
    <w:rsid w:val="007350AC"/>
    <w:rsid w:val="00735265"/>
    <w:rsid w:val="0073761B"/>
    <w:rsid w:val="00737AB5"/>
    <w:rsid w:val="00737BBF"/>
    <w:rsid w:val="0074012B"/>
    <w:rsid w:val="007406A2"/>
    <w:rsid w:val="00740B61"/>
    <w:rsid w:val="007414BA"/>
    <w:rsid w:val="007415AD"/>
    <w:rsid w:val="00741865"/>
    <w:rsid w:val="00741866"/>
    <w:rsid w:val="00741BC6"/>
    <w:rsid w:val="00741FAA"/>
    <w:rsid w:val="007422C4"/>
    <w:rsid w:val="00742B76"/>
    <w:rsid w:val="00743A14"/>
    <w:rsid w:val="00744795"/>
    <w:rsid w:val="00744D58"/>
    <w:rsid w:val="00744F1C"/>
    <w:rsid w:val="007470C2"/>
    <w:rsid w:val="0074724C"/>
    <w:rsid w:val="007476FB"/>
    <w:rsid w:val="00747741"/>
    <w:rsid w:val="00747A3A"/>
    <w:rsid w:val="007504BD"/>
    <w:rsid w:val="00750603"/>
    <w:rsid w:val="0075084F"/>
    <w:rsid w:val="007511B1"/>
    <w:rsid w:val="0075189C"/>
    <w:rsid w:val="0075246F"/>
    <w:rsid w:val="00753083"/>
    <w:rsid w:val="007543A3"/>
    <w:rsid w:val="0075547B"/>
    <w:rsid w:val="0075610B"/>
    <w:rsid w:val="007561BA"/>
    <w:rsid w:val="00756BE1"/>
    <w:rsid w:val="00756FD0"/>
    <w:rsid w:val="00757079"/>
    <w:rsid w:val="00757162"/>
    <w:rsid w:val="00757755"/>
    <w:rsid w:val="00757D92"/>
    <w:rsid w:val="00760EB2"/>
    <w:rsid w:val="00760FEC"/>
    <w:rsid w:val="007610D8"/>
    <w:rsid w:val="00762040"/>
    <w:rsid w:val="0076241B"/>
    <w:rsid w:val="00762C73"/>
    <w:rsid w:val="007630CC"/>
    <w:rsid w:val="00763269"/>
    <w:rsid w:val="00763450"/>
    <w:rsid w:val="00763CAE"/>
    <w:rsid w:val="00765062"/>
    <w:rsid w:val="007660BF"/>
    <w:rsid w:val="007663BC"/>
    <w:rsid w:val="00767806"/>
    <w:rsid w:val="0077050D"/>
    <w:rsid w:val="007709B9"/>
    <w:rsid w:val="00770DFF"/>
    <w:rsid w:val="00771499"/>
    <w:rsid w:val="00771D47"/>
    <w:rsid w:val="00771DDC"/>
    <w:rsid w:val="00771F46"/>
    <w:rsid w:val="00773222"/>
    <w:rsid w:val="007738B6"/>
    <w:rsid w:val="00773CD0"/>
    <w:rsid w:val="00774960"/>
    <w:rsid w:val="00774AF4"/>
    <w:rsid w:val="00774DFF"/>
    <w:rsid w:val="00775462"/>
    <w:rsid w:val="007754B0"/>
    <w:rsid w:val="00776973"/>
    <w:rsid w:val="00776C5F"/>
    <w:rsid w:val="00777022"/>
    <w:rsid w:val="007771CA"/>
    <w:rsid w:val="00777249"/>
    <w:rsid w:val="007776F6"/>
    <w:rsid w:val="00777877"/>
    <w:rsid w:val="00780C12"/>
    <w:rsid w:val="00780DDC"/>
    <w:rsid w:val="00780E83"/>
    <w:rsid w:val="00780FCC"/>
    <w:rsid w:val="00783904"/>
    <w:rsid w:val="00783D44"/>
    <w:rsid w:val="00784066"/>
    <w:rsid w:val="0078477E"/>
    <w:rsid w:val="0078504C"/>
    <w:rsid w:val="00785230"/>
    <w:rsid w:val="00785837"/>
    <w:rsid w:val="00785A18"/>
    <w:rsid w:val="00785DD9"/>
    <w:rsid w:val="007869B4"/>
    <w:rsid w:val="00787382"/>
    <w:rsid w:val="00787BF7"/>
    <w:rsid w:val="007907B0"/>
    <w:rsid w:val="007918FB"/>
    <w:rsid w:val="00791CA8"/>
    <w:rsid w:val="00792100"/>
    <w:rsid w:val="00792A6A"/>
    <w:rsid w:val="0079337B"/>
    <w:rsid w:val="007933F6"/>
    <w:rsid w:val="0079354E"/>
    <w:rsid w:val="00793694"/>
    <w:rsid w:val="00793AEC"/>
    <w:rsid w:val="00793E2A"/>
    <w:rsid w:val="0079566F"/>
    <w:rsid w:val="00795DAD"/>
    <w:rsid w:val="007962D1"/>
    <w:rsid w:val="007968EA"/>
    <w:rsid w:val="00796EFB"/>
    <w:rsid w:val="00796F61"/>
    <w:rsid w:val="007972FB"/>
    <w:rsid w:val="0079764E"/>
    <w:rsid w:val="00797A8E"/>
    <w:rsid w:val="007A031D"/>
    <w:rsid w:val="007A083C"/>
    <w:rsid w:val="007A09A7"/>
    <w:rsid w:val="007A1474"/>
    <w:rsid w:val="007A1590"/>
    <w:rsid w:val="007A1834"/>
    <w:rsid w:val="007A365F"/>
    <w:rsid w:val="007A37BB"/>
    <w:rsid w:val="007A3999"/>
    <w:rsid w:val="007A3D46"/>
    <w:rsid w:val="007A3E43"/>
    <w:rsid w:val="007A428B"/>
    <w:rsid w:val="007A5AD5"/>
    <w:rsid w:val="007A60F1"/>
    <w:rsid w:val="007A6205"/>
    <w:rsid w:val="007A6242"/>
    <w:rsid w:val="007A62E2"/>
    <w:rsid w:val="007A6E0B"/>
    <w:rsid w:val="007A6FF8"/>
    <w:rsid w:val="007A7DCC"/>
    <w:rsid w:val="007B0206"/>
    <w:rsid w:val="007B04D4"/>
    <w:rsid w:val="007B16F4"/>
    <w:rsid w:val="007B18D0"/>
    <w:rsid w:val="007B2367"/>
    <w:rsid w:val="007B29D6"/>
    <w:rsid w:val="007B2DE9"/>
    <w:rsid w:val="007B3172"/>
    <w:rsid w:val="007B37EB"/>
    <w:rsid w:val="007B4F34"/>
    <w:rsid w:val="007B53BE"/>
    <w:rsid w:val="007B5488"/>
    <w:rsid w:val="007B59D0"/>
    <w:rsid w:val="007B5DD1"/>
    <w:rsid w:val="007B6308"/>
    <w:rsid w:val="007B6688"/>
    <w:rsid w:val="007B698E"/>
    <w:rsid w:val="007B756C"/>
    <w:rsid w:val="007B7916"/>
    <w:rsid w:val="007B7C33"/>
    <w:rsid w:val="007B7DA2"/>
    <w:rsid w:val="007B7FC3"/>
    <w:rsid w:val="007C1937"/>
    <w:rsid w:val="007C1B30"/>
    <w:rsid w:val="007C1E39"/>
    <w:rsid w:val="007C2769"/>
    <w:rsid w:val="007C5020"/>
    <w:rsid w:val="007C5480"/>
    <w:rsid w:val="007C6194"/>
    <w:rsid w:val="007C6EF4"/>
    <w:rsid w:val="007C7FC9"/>
    <w:rsid w:val="007D0307"/>
    <w:rsid w:val="007D0DFB"/>
    <w:rsid w:val="007D209F"/>
    <w:rsid w:val="007D2467"/>
    <w:rsid w:val="007D2C4F"/>
    <w:rsid w:val="007D3687"/>
    <w:rsid w:val="007D37A9"/>
    <w:rsid w:val="007D4DB2"/>
    <w:rsid w:val="007D5387"/>
    <w:rsid w:val="007D5D47"/>
    <w:rsid w:val="007D674E"/>
    <w:rsid w:val="007D795C"/>
    <w:rsid w:val="007D7A23"/>
    <w:rsid w:val="007E0429"/>
    <w:rsid w:val="007E184E"/>
    <w:rsid w:val="007E1AD5"/>
    <w:rsid w:val="007E1FF3"/>
    <w:rsid w:val="007E2BCE"/>
    <w:rsid w:val="007E33AA"/>
    <w:rsid w:val="007E3469"/>
    <w:rsid w:val="007E42A4"/>
    <w:rsid w:val="007E4892"/>
    <w:rsid w:val="007E4EF1"/>
    <w:rsid w:val="007E555D"/>
    <w:rsid w:val="007E5907"/>
    <w:rsid w:val="007F048A"/>
    <w:rsid w:val="007F04CB"/>
    <w:rsid w:val="007F0DF9"/>
    <w:rsid w:val="007F1EFF"/>
    <w:rsid w:val="007F25F6"/>
    <w:rsid w:val="007F2744"/>
    <w:rsid w:val="007F2C7F"/>
    <w:rsid w:val="007F322F"/>
    <w:rsid w:val="007F3972"/>
    <w:rsid w:val="007F3D67"/>
    <w:rsid w:val="007F466B"/>
    <w:rsid w:val="007F491F"/>
    <w:rsid w:val="007F542C"/>
    <w:rsid w:val="007F5B53"/>
    <w:rsid w:val="007F6BA9"/>
    <w:rsid w:val="007F6BE2"/>
    <w:rsid w:val="007F7907"/>
    <w:rsid w:val="008004CC"/>
    <w:rsid w:val="00800840"/>
    <w:rsid w:val="00800934"/>
    <w:rsid w:val="00801B79"/>
    <w:rsid w:val="008029AF"/>
    <w:rsid w:val="00802C7B"/>
    <w:rsid w:val="00802D28"/>
    <w:rsid w:val="00802EE7"/>
    <w:rsid w:val="00802FD0"/>
    <w:rsid w:val="00803CD7"/>
    <w:rsid w:val="0080470F"/>
    <w:rsid w:val="00804E38"/>
    <w:rsid w:val="00805701"/>
    <w:rsid w:val="00805A5E"/>
    <w:rsid w:val="00806472"/>
    <w:rsid w:val="0080663B"/>
    <w:rsid w:val="0080665B"/>
    <w:rsid w:val="00806A5F"/>
    <w:rsid w:val="008073CB"/>
    <w:rsid w:val="00807A4D"/>
    <w:rsid w:val="00810A77"/>
    <w:rsid w:val="0081137A"/>
    <w:rsid w:val="008116D8"/>
    <w:rsid w:val="00811D9C"/>
    <w:rsid w:val="008120FB"/>
    <w:rsid w:val="008124A6"/>
    <w:rsid w:val="00812BE8"/>
    <w:rsid w:val="00812EAE"/>
    <w:rsid w:val="00814207"/>
    <w:rsid w:val="008142E4"/>
    <w:rsid w:val="00815271"/>
    <w:rsid w:val="00815765"/>
    <w:rsid w:val="008161E0"/>
    <w:rsid w:val="008162F2"/>
    <w:rsid w:val="00816DD0"/>
    <w:rsid w:val="00816F93"/>
    <w:rsid w:val="0081731D"/>
    <w:rsid w:val="0081794D"/>
    <w:rsid w:val="00817A8A"/>
    <w:rsid w:val="008201F4"/>
    <w:rsid w:val="0082078D"/>
    <w:rsid w:val="00820CAB"/>
    <w:rsid w:val="00820FC1"/>
    <w:rsid w:val="0082105B"/>
    <w:rsid w:val="008214EA"/>
    <w:rsid w:val="00821F70"/>
    <w:rsid w:val="008223AC"/>
    <w:rsid w:val="00822943"/>
    <w:rsid w:val="00822BCE"/>
    <w:rsid w:val="00822FD7"/>
    <w:rsid w:val="00824184"/>
    <w:rsid w:val="0082463A"/>
    <w:rsid w:val="0082485A"/>
    <w:rsid w:val="00824E21"/>
    <w:rsid w:val="0082519A"/>
    <w:rsid w:val="00825350"/>
    <w:rsid w:val="008253AC"/>
    <w:rsid w:val="00825F24"/>
    <w:rsid w:val="00826537"/>
    <w:rsid w:val="00826654"/>
    <w:rsid w:val="00826AA5"/>
    <w:rsid w:val="00826D60"/>
    <w:rsid w:val="0083070F"/>
    <w:rsid w:val="00830F61"/>
    <w:rsid w:val="008318ED"/>
    <w:rsid w:val="00831E4C"/>
    <w:rsid w:val="00831FCE"/>
    <w:rsid w:val="0083207B"/>
    <w:rsid w:val="008320BF"/>
    <w:rsid w:val="008321D7"/>
    <w:rsid w:val="00832261"/>
    <w:rsid w:val="008335FD"/>
    <w:rsid w:val="008337B2"/>
    <w:rsid w:val="00834101"/>
    <w:rsid w:val="008349A8"/>
    <w:rsid w:val="00835F58"/>
    <w:rsid w:val="00835FE9"/>
    <w:rsid w:val="00837A12"/>
    <w:rsid w:val="00837E5C"/>
    <w:rsid w:val="00840169"/>
    <w:rsid w:val="00840179"/>
    <w:rsid w:val="00840E69"/>
    <w:rsid w:val="00841525"/>
    <w:rsid w:val="00841EC2"/>
    <w:rsid w:val="008432BF"/>
    <w:rsid w:val="00844CF4"/>
    <w:rsid w:val="00845918"/>
    <w:rsid w:val="00845970"/>
    <w:rsid w:val="00845FCD"/>
    <w:rsid w:val="00846715"/>
    <w:rsid w:val="00846760"/>
    <w:rsid w:val="00846B16"/>
    <w:rsid w:val="00846D87"/>
    <w:rsid w:val="0084713F"/>
    <w:rsid w:val="0084725C"/>
    <w:rsid w:val="00847BB5"/>
    <w:rsid w:val="00847C15"/>
    <w:rsid w:val="00850731"/>
    <w:rsid w:val="008512C6"/>
    <w:rsid w:val="00851E11"/>
    <w:rsid w:val="00852364"/>
    <w:rsid w:val="0085247C"/>
    <w:rsid w:val="00852ED1"/>
    <w:rsid w:val="00855869"/>
    <w:rsid w:val="008559B4"/>
    <w:rsid w:val="00856728"/>
    <w:rsid w:val="00857133"/>
    <w:rsid w:val="00857A7B"/>
    <w:rsid w:val="008600ED"/>
    <w:rsid w:val="0086024F"/>
    <w:rsid w:val="0086054B"/>
    <w:rsid w:val="00860ACC"/>
    <w:rsid w:val="00862734"/>
    <w:rsid w:val="008636C6"/>
    <w:rsid w:val="00863CDF"/>
    <w:rsid w:val="008659F1"/>
    <w:rsid w:val="00865D95"/>
    <w:rsid w:val="00866494"/>
    <w:rsid w:val="00866731"/>
    <w:rsid w:val="00867861"/>
    <w:rsid w:val="00867B91"/>
    <w:rsid w:val="00870197"/>
    <w:rsid w:val="0087096A"/>
    <w:rsid w:val="00870D17"/>
    <w:rsid w:val="008714FA"/>
    <w:rsid w:val="00871708"/>
    <w:rsid w:val="00871A64"/>
    <w:rsid w:val="00871A78"/>
    <w:rsid w:val="00871EA0"/>
    <w:rsid w:val="00871FEA"/>
    <w:rsid w:val="0087227C"/>
    <w:rsid w:val="0087351A"/>
    <w:rsid w:val="008738CE"/>
    <w:rsid w:val="00873AC0"/>
    <w:rsid w:val="00873DBB"/>
    <w:rsid w:val="00874D25"/>
    <w:rsid w:val="00874DFB"/>
    <w:rsid w:val="00874F18"/>
    <w:rsid w:val="0087546F"/>
    <w:rsid w:val="00875673"/>
    <w:rsid w:val="00875A25"/>
    <w:rsid w:val="00875CBD"/>
    <w:rsid w:val="00875F40"/>
    <w:rsid w:val="0087611F"/>
    <w:rsid w:val="00877923"/>
    <w:rsid w:val="008804BA"/>
    <w:rsid w:val="0088056C"/>
    <w:rsid w:val="00881501"/>
    <w:rsid w:val="00881D10"/>
    <w:rsid w:val="00881DF5"/>
    <w:rsid w:val="0088276B"/>
    <w:rsid w:val="00882E86"/>
    <w:rsid w:val="00883076"/>
    <w:rsid w:val="00883706"/>
    <w:rsid w:val="00883CAA"/>
    <w:rsid w:val="00883E24"/>
    <w:rsid w:val="0088480B"/>
    <w:rsid w:val="00885359"/>
    <w:rsid w:val="00885B1C"/>
    <w:rsid w:val="00885CE5"/>
    <w:rsid w:val="00885E35"/>
    <w:rsid w:val="00885E73"/>
    <w:rsid w:val="00885F8B"/>
    <w:rsid w:val="00885FE9"/>
    <w:rsid w:val="00885FF7"/>
    <w:rsid w:val="00886494"/>
    <w:rsid w:val="00886897"/>
    <w:rsid w:val="00887101"/>
    <w:rsid w:val="00890141"/>
    <w:rsid w:val="00890600"/>
    <w:rsid w:val="00891223"/>
    <w:rsid w:val="008915BB"/>
    <w:rsid w:val="00892DC2"/>
    <w:rsid w:val="008934C5"/>
    <w:rsid w:val="00893A4D"/>
    <w:rsid w:val="00893D68"/>
    <w:rsid w:val="00893F2F"/>
    <w:rsid w:val="00894710"/>
    <w:rsid w:val="00894F69"/>
    <w:rsid w:val="00895240"/>
    <w:rsid w:val="00895581"/>
    <w:rsid w:val="00895C3E"/>
    <w:rsid w:val="00895D54"/>
    <w:rsid w:val="00896142"/>
    <w:rsid w:val="008963A8"/>
    <w:rsid w:val="008963E9"/>
    <w:rsid w:val="008A0BD7"/>
    <w:rsid w:val="008A115C"/>
    <w:rsid w:val="008A157E"/>
    <w:rsid w:val="008A157F"/>
    <w:rsid w:val="008A19D7"/>
    <w:rsid w:val="008A1F8A"/>
    <w:rsid w:val="008A20A9"/>
    <w:rsid w:val="008A372B"/>
    <w:rsid w:val="008A3DBA"/>
    <w:rsid w:val="008A4222"/>
    <w:rsid w:val="008A45CE"/>
    <w:rsid w:val="008A475D"/>
    <w:rsid w:val="008A4D75"/>
    <w:rsid w:val="008A529B"/>
    <w:rsid w:val="008A580A"/>
    <w:rsid w:val="008A679F"/>
    <w:rsid w:val="008A7D07"/>
    <w:rsid w:val="008A7DC0"/>
    <w:rsid w:val="008B22B3"/>
    <w:rsid w:val="008B2421"/>
    <w:rsid w:val="008B2C2C"/>
    <w:rsid w:val="008B2C32"/>
    <w:rsid w:val="008B2F2C"/>
    <w:rsid w:val="008B308E"/>
    <w:rsid w:val="008B39CC"/>
    <w:rsid w:val="008B3A2A"/>
    <w:rsid w:val="008B3A52"/>
    <w:rsid w:val="008B4872"/>
    <w:rsid w:val="008B4EB8"/>
    <w:rsid w:val="008B54B9"/>
    <w:rsid w:val="008B56FB"/>
    <w:rsid w:val="008B73C7"/>
    <w:rsid w:val="008B73F7"/>
    <w:rsid w:val="008B7425"/>
    <w:rsid w:val="008B792A"/>
    <w:rsid w:val="008B7CD8"/>
    <w:rsid w:val="008C0C7A"/>
    <w:rsid w:val="008C1572"/>
    <w:rsid w:val="008C165F"/>
    <w:rsid w:val="008C178D"/>
    <w:rsid w:val="008C1CFD"/>
    <w:rsid w:val="008C1DDE"/>
    <w:rsid w:val="008C1E94"/>
    <w:rsid w:val="008C2483"/>
    <w:rsid w:val="008C2542"/>
    <w:rsid w:val="008C2945"/>
    <w:rsid w:val="008C580F"/>
    <w:rsid w:val="008C5FB4"/>
    <w:rsid w:val="008C608E"/>
    <w:rsid w:val="008C670E"/>
    <w:rsid w:val="008D032D"/>
    <w:rsid w:val="008D0474"/>
    <w:rsid w:val="008D096F"/>
    <w:rsid w:val="008D1229"/>
    <w:rsid w:val="008D2309"/>
    <w:rsid w:val="008D2657"/>
    <w:rsid w:val="008D26C5"/>
    <w:rsid w:val="008D2E69"/>
    <w:rsid w:val="008D3473"/>
    <w:rsid w:val="008D36EA"/>
    <w:rsid w:val="008D4806"/>
    <w:rsid w:val="008D48F0"/>
    <w:rsid w:val="008D5999"/>
    <w:rsid w:val="008D5A9C"/>
    <w:rsid w:val="008D6259"/>
    <w:rsid w:val="008D72DC"/>
    <w:rsid w:val="008E1303"/>
    <w:rsid w:val="008E163C"/>
    <w:rsid w:val="008E1BD3"/>
    <w:rsid w:val="008E1BF6"/>
    <w:rsid w:val="008E2467"/>
    <w:rsid w:val="008E33A2"/>
    <w:rsid w:val="008E3EEF"/>
    <w:rsid w:val="008E4437"/>
    <w:rsid w:val="008E4610"/>
    <w:rsid w:val="008E4658"/>
    <w:rsid w:val="008E4ACA"/>
    <w:rsid w:val="008E4C0C"/>
    <w:rsid w:val="008E5584"/>
    <w:rsid w:val="008E5A5E"/>
    <w:rsid w:val="008E6483"/>
    <w:rsid w:val="008E6981"/>
    <w:rsid w:val="008E6C4E"/>
    <w:rsid w:val="008E7625"/>
    <w:rsid w:val="008E7E57"/>
    <w:rsid w:val="008F0978"/>
    <w:rsid w:val="008F09DA"/>
    <w:rsid w:val="008F0CC2"/>
    <w:rsid w:val="008F1099"/>
    <w:rsid w:val="008F1156"/>
    <w:rsid w:val="008F137B"/>
    <w:rsid w:val="008F19F3"/>
    <w:rsid w:val="008F1E96"/>
    <w:rsid w:val="008F204C"/>
    <w:rsid w:val="008F2180"/>
    <w:rsid w:val="008F2217"/>
    <w:rsid w:val="008F226E"/>
    <w:rsid w:val="008F38AD"/>
    <w:rsid w:val="008F3F79"/>
    <w:rsid w:val="008F4497"/>
    <w:rsid w:val="008F4B0A"/>
    <w:rsid w:val="008F52AE"/>
    <w:rsid w:val="008F6BBF"/>
    <w:rsid w:val="008F7518"/>
    <w:rsid w:val="008F7A10"/>
    <w:rsid w:val="00900C03"/>
    <w:rsid w:val="00900C3A"/>
    <w:rsid w:val="00901464"/>
    <w:rsid w:val="00901473"/>
    <w:rsid w:val="00901F8C"/>
    <w:rsid w:val="00902259"/>
    <w:rsid w:val="00902AA2"/>
    <w:rsid w:val="0090309E"/>
    <w:rsid w:val="009039F8"/>
    <w:rsid w:val="00903D9B"/>
    <w:rsid w:val="009042C7"/>
    <w:rsid w:val="009049B0"/>
    <w:rsid w:val="00904E8C"/>
    <w:rsid w:val="00906064"/>
    <w:rsid w:val="00906285"/>
    <w:rsid w:val="0090771E"/>
    <w:rsid w:val="009104A8"/>
    <w:rsid w:val="00910B10"/>
    <w:rsid w:val="00910CE4"/>
    <w:rsid w:val="00911304"/>
    <w:rsid w:val="00911982"/>
    <w:rsid w:val="00911C63"/>
    <w:rsid w:val="00911F56"/>
    <w:rsid w:val="00912178"/>
    <w:rsid w:val="009131CE"/>
    <w:rsid w:val="00914350"/>
    <w:rsid w:val="00914ABE"/>
    <w:rsid w:val="0091554A"/>
    <w:rsid w:val="0091563E"/>
    <w:rsid w:val="00915A78"/>
    <w:rsid w:val="009163D2"/>
    <w:rsid w:val="00920BA7"/>
    <w:rsid w:val="009215B0"/>
    <w:rsid w:val="00921EDE"/>
    <w:rsid w:val="00922E73"/>
    <w:rsid w:val="009234E3"/>
    <w:rsid w:val="009236AC"/>
    <w:rsid w:val="00923BF3"/>
    <w:rsid w:val="0092441D"/>
    <w:rsid w:val="009247CC"/>
    <w:rsid w:val="00924999"/>
    <w:rsid w:val="0092507D"/>
    <w:rsid w:val="00925106"/>
    <w:rsid w:val="00925757"/>
    <w:rsid w:val="0092594F"/>
    <w:rsid w:val="00926835"/>
    <w:rsid w:val="00930902"/>
    <w:rsid w:val="00932B43"/>
    <w:rsid w:val="00933BCD"/>
    <w:rsid w:val="0093414A"/>
    <w:rsid w:val="0093495F"/>
    <w:rsid w:val="00934AF5"/>
    <w:rsid w:val="009357F1"/>
    <w:rsid w:val="00935A2B"/>
    <w:rsid w:val="00936107"/>
    <w:rsid w:val="00936869"/>
    <w:rsid w:val="00936A74"/>
    <w:rsid w:val="00936B68"/>
    <w:rsid w:val="00936EE9"/>
    <w:rsid w:val="00937A63"/>
    <w:rsid w:val="00940BC9"/>
    <w:rsid w:val="00941420"/>
    <w:rsid w:val="009414F6"/>
    <w:rsid w:val="00941E4B"/>
    <w:rsid w:val="009422D3"/>
    <w:rsid w:val="009425D8"/>
    <w:rsid w:val="00942A44"/>
    <w:rsid w:val="00942C49"/>
    <w:rsid w:val="00943614"/>
    <w:rsid w:val="009437AA"/>
    <w:rsid w:val="009451C2"/>
    <w:rsid w:val="00945750"/>
    <w:rsid w:val="00945B94"/>
    <w:rsid w:val="00945F44"/>
    <w:rsid w:val="00946066"/>
    <w:rsid w:val="009463E5"/>
    <w:rsid w:val="00946C3F"/>
    <w:rsid w:val="009475BB"/>
    <w:rsid w:val="0094760D"/>
    <w:rsid w:val="009476B6"/>
    <w:rsid w:val="00947D40"/>
    <w:rsid w:val="009509AA"/>
    <w:rsid w:val="00950A8D"/>
    <w:rsid w:val="00951792"/>
    <w:rsid w:val="00953D1D"/>
    <w:rsid w:val="00953E0A"/>
    <w:rsid w:val="009546A3"/>
    <w:rsid w:val="00954F16"/>
    <w:rsid w:val="0095542A"/>
    <w:rsid w:val="00955537"/>
    <w:rsid w:val="00955E0D"/>
    <w:rsid w:val="00956785"/>
    <w:rsid w:val="009571A1"/>
    <w:rsid w:val="00957AAD"/>
    <w:rsid w:val="00957B03"/>
    <w:rsid w:val="00960272"/>
    <w:rsid w:val="00960B3F"/>
    <w:rsid w:val="00961021"/>
    <w:rsid w:val="0096146B"/>
    <w:rsid w:val="00961788"/>
    <w:rsid w:val="00961C2B"/>
    <w:rsid w:val="009624B6"/>
    <w:rsid w:val="009625CD"/>
    <w:rsid w:val="00962F47"/>
    <w:rsid w:val="00963DFA"/>
    <w:rsid w:val="00964035"/>
    <w:rsid w:val="00964682"/>
    <w:rsid w:val="00964C66"/>
    <w:rsid w:val="00965166"/>
    <w:rsid w:val="00966181"/>
    <w:rsid w:val="009673BB"/>
    <w:rsid w:val="00967B0A"/>
    <w:rsid w:val="00967D02"/>
    <w:rsid w:val="0097053C"/>
    <w:rsid w:val="00970874"/>
    <w:rsid w:val="00970F81"/>
    <w:rsid w:val="0097108B"/>
    <w:rsid w:val="00971B0A"/>
    <w:rsid w:val="00972A82"/>
    <w:rsid w:val="00972ED9"/>
    <w:rsid w:val="00972EFC"/>
    <w:rsid w:val="0097302A"/>
    <w:rsid w:val="009741D8"/>
    <w:rsid w:val="009742C3"/>
    <w:rsid w:val="00974C14"/>
    <w:rsid w:val="00974EDF"/>
    <w:rsid w:val="00975153"/>
    <w:rsid w:val="0097574E"/>
    <w:rsid w:val="00977F6E"/>
    <w:rsid w:val="00980033"/>
    <w:rsid w:val="00980126"/>
    <w:rsid w:val="00981B54"/>
    <w:rsid w:val="00982D06"/>
    <w:rsid w:val="00983778"/>
    <w:rsid w:val="00984604"/>
    <w:rsid w:val="00985C56"/>
    <w:rsid w:val="009864BD"/>
    <w:rsid w:val="00986B1E"/>
    <w:rsid w:val="0098771F"/>
    <w:rsid w:val="009914C3"/>
    <w:rsid w:val="00991CFF"/>
    <w:rsid w:val="0099205D"/>
    <w:rsid w:val="0099215A"/>
    <w:rsid w:val="00993092"/>
    <w:rsid w:val="009940AD"/>
    <w:rsid w:val="00995DC1"/>
    <w:rsid w:val="00996406"/>
    <w:rsid w:val="0099649B"/>
    <w:rsid w:val="00996B52"/>
    <w:rsid w:val="00996B83"/>
    <w:rsid w:val="009970F0"/>
    <w:rsid w:val="00997450"/>
    <w:rsid w:val="009A01A8"/>
    <w:rsid w:val="009A051A"/>
    <w:rsid w:val="009A0B10"/>
    <w:rsid w:val="009A0D48"/>
    <w:rsid w:val="009A0E95"/>
    <w:rsid w:val="009A11A0"/>
    <w:rsid w:val="009A22A5"/>
    <w:rsid w:val="009A2366"/>
    <w:rsid w:val="009A2BD2"/>
    <w:rsid w:val="009A32FB"/>
    <w:rsid w:val="009A3A7A"/>
    <w:rsid w:val="009A489F"/>
    <w:rsid w:val="009A4901"/>
    <w:rsid w:val="009A540F"/>
    <w:rsid w:val="009A543D"/>
    <w:rsid w:val="009A6139"/>
    <w:rsid w:val="009A7BCB"/>
    <w:rsid w:val="009B0389"/>
    <w:rsid w:val="009B0686"/>
    <w:rsid w:val="009B07D9"/>
    <w:rsid w:val="009B1C3A"/>
    <w:rsid w:val="009B26D2"/>
    <w:rsid w:val="009B2CEC"/>
    <w:rsid w:val="009B2E4B"/>
    <w:rsid w:val="009B3352"/>
    <w:rsid w:val="009B358B"/>
    <w:rsid w:val="009B4B64"/>
    <w:rsid w:val="009B4F88"/>
    <w:rsid w:val="009B56A0"/>
    <w:rsid w:val="009B5D74"/>
    <w:rsid w:val="009B5DE9"/>
    <w:rsid w:val="009B6130"/>
    <w:rsid w:val="009B622D"/>
    <w:rsid w:val="009B6ACE"/>
    <w:rsid w:val="009B6D02"/>
    <w:rsid w:val="009B6F49"/>
    <w:rsid w:val="009B75E3"/>
    <w:rsid w:val="009B7BD3"/>
    <w:rsid w:val="009B7D0B"/>
    <w:rsid w:val="009B7DB0"/>
    <w:rsid w:val="009C026F"/>
    <w:rsid w:val="009C09FF"/>
    <w:rsid w:val="009C11B8"/>
    <w:rsid w:val="009C1451"/>
    <w:rsid w:val="009C17B6"/>
    <w:rsid w:val="009C187A"/>
    <w:rsid w:val="009C1FB2"/>
    <w:rsid w:val="009C1FEC"/>
    <w:rsid w:val="009C2398"/>
    <w:rsid w:val="009C26E2"/>
    <w:rsid w:val="009C2CD8"/>
    <w:rsid w:val="009C3838"/>
    <w:rsid w:val="009C3D39"/>
    <w:rsid w:val="009C41EA"/>
    <w:rsid w:val="009C50D0"/>
    <w:rsid w:val="009C547A"/>
    <w:rsid w:val="009C57B4"/>
    <w:rsid w:val="009C687A"/>
    <w:rsid w:val="009C69A9"/>
    <w:rsid w:val="009C709F"/>
    <w:rsid w:val="009C7A11"/>
    <w:rsid w:val="009C7C5B"/>
    <w:rsid w:val="009D01EA"/>
    <w:rsid w:val="009D02A8"/>
    <w:rsid w:val="009D07F0"/>
    <w:rsid w:val="009D1716"/>
    <w:rsid w:val="009D1D84"/>
    <w:rsid w:val="009D2023"/>
    <w:rsid w:val="009D27D8"/>
    <w:rsid w:val="009D3732"/>
    <w:rsid w:val="009D42A3"/>
    <w:rsid w:val="009D593A"/>
    <w:rsid w:val="009D5EA9"/>
    <w:rsid w:val="009D6A43"/>
    <w:rsid w:val="009D7B6F"/>
    <w:rsid w:val="009D7D29"/>
    <w:rsid w:val="009E12DA"/>
    <w:rsid w:val="009E168F"/>
    <w:rsid w:val="009E2199"/>
    <w:rsid w:val="009E24B3"/>
    <w:rsid w:val="009E268A"/>
    <w:rsid w:val="009E393A"/>
    <w:rsid w:val="009E4216"/>
    <w:rsid w:val="009E4F49"/>
    <w:rsid w:val="009E58F7"/>
    <w:rsid w:val="009E5C03"/>
    <w:rsid w:val="009E6E75"/>
    <w:rsid w:val="009E70A0"/>
    <w:rsid w:val="009E7A69"/>
    <w:rsid w:val="009F0418"/>
    <w:rsid w:val="009F05BB"/>
    <w:rsid w:val="009F0768"/>
    <w:rsid w:val="009F0E99"/>
    <w:rsid w:val="009F0FF3"/>
    <w:rsid w:val="009F1C6F"/>
    <w:rsid w:val="009F1DF8"/>
    <w:rsid w:val="009F2E2E"/>
    <w:rsid w:val="009F355A"/>
    <w:rsid w:val="009F43FC"/>
    <w:rsid w:val="009F483C"/>
    <w:rsid w:val="009F4F7A"/>
    <w:rsid w:val="009F5C85"/>
    <w:rsid w:val="009F5DB7"/>
    <w:rsid w:val="009F6098"/>
    <w:rsid w:val="009F680E"/>
    <w:rsid w:val="009F79F1"/>
    <w:rsid w:val="009F7C44"/>
    <w:rsid w:val="00A0014E"/>
    <w:rsid w:val="00A004DF"/>
    <w:rsid w:val="00A00768"/>
    <w:rsid w:val="00A00F2C"/>
    <w:rsid w:val="00A01BA9"/>
    <w:rsid w:val="00A01CD7"/>
    <w:rsid w:val="00A0231F"/>
    <w:rsid w:val="00A02630"/>
    <w:rsid w:val="00A0295A"/>
    <w:rsid w:val="00A04682"/>
    <w:rsid w:val="00A055EB"/>
    <w:rsid w:val="00A06507"/>
    <w:rsid w:val="00A06A22"/>
    <w:rsid w:val="00A07263"/>
    <w:rsid w:val="00A07A01"/>
    <w:rsid w:val="00A07BE8"/>
    <w:rsid w:val="00A07D5B"/>
    <w:rsid w:val="00A07E6B"/>
    <w:rsid w:val="00A11460"/>
    <w:rsid w:val="00A115EC"/>
    <w:rsid w:val="00A124DC"/>
    <w:rsid w:val="00A14334"/>
    <w:rsid w:val="00A14A83"/>
    <w:rsid w:val="00A14C4C"/>
    <w:rsid w:val="00A1598A"/>
    <w:rsid w:val="00A15D60"/>
    <w:rsid w:val="00A1680D"/>
    <w:rsid w:val="00A170F4"/>
    <w:rsid w:val="00A17133"/>
    <w:rsid w:val="00A17490"/>
    <w:rsid w:val="00A1754B"/>
    <w:rsid w:val="00A17977"/>
    <w:rsid w:val="00A2013B"/>
    <w:rsid w:val="00A20376"/>
    <w:rsid w:val="00A2046A"/>
    <w:rsid w:val="00A20A4F"/>
    <w:rsid w:val="00A20F40"/>
    <w:rsid w:val="00A21150"/>
    <w:rsid w:val="00A2177B"/>
    <w:rsid w:val="00A21EF9"/>
    <w:rsid w:val="00A2212E"/>
    <w:rsid w:val="00A22B2C"/>
    <w:rsid w:val="00A22BBB"/>
    <w:rsid w:val="00A22CA0"/>
    <w:rsid w:val="00A22D4D"/>
    <w:rsid w:val="00A23462"/>
    <w:rsid w:val="00A23561"/>
    <w:rsid w:val="00A24276"/>
    <w:rsid w:val="00A24AB8"/>
    <w:rsid w:val="00A24AEA"/>
    <w:rsid w:val="00A2514E"/>
    <w:rsid w:val="00A26369"/>
    <w:rsid w:val="00A26E40"/>
    <w:rsid w:val="00A27947"/>
    <w:rsid w:val="00A27F9A"/>
    <w:rsid w:val="00A27FDF"/>
    <w:rsid w:val="00A30AE8"/>
    <w:rsid w:val="00A31366"/>
    <w:rsid w:val="00A31516"/>
    <w:rsid w:val="00A318D0"/>
    <w:rsid w:val="00A32744"/>
    <w:rsid w:val="00A33539"/>
    <w:rsid w:val="00A33C15"/>
    <w:rsid w:val="00A34D9C"/>
    <w:rsid w:val="00A35762"/>
    <w:rsid w:val="00A35A86"/>
    <w:rsid w:val="00A3616B"/>
    <w:rsid w:val="00A361D2"/>
    <w:rsid w:val="00A4028F"/>
    <w:rsid w:val="00A40D54"/>
    <w:rsid w:val="00A427CD"/>
    <w:rsid w:val="00A42BB2"/>
    <w:rsid w:val="00A42C82"/>
    <w:rsid w:val="00A42FA9"/>
    <w:rsid w:val="00A43F1A"/>
    <w:rsid w:val="00A440F4"/>
    <w:rsid w:val="00A44A16"/>
    <w:rsid w:val="00A4543A"/>
    <w:rsid w:val="00A45602"/>
    <w:rsid w:val="00A45AE4"/>
    <w:rsid w:val="00A45AF8"/>
    <w:rsid w:val="00A45FFB"/>
    <w:rsid w:val="00A468F4"/>
    <w:rsid w:val="00A46E04"/>
    <w:rsid w:val="00A47044"/>
    <w:rsid w:val="00A4740B"/>
    <w:rsid w:val="00A52EB9"/>
    <w:rsid w:val="00A5301D"/>
    <w:rsid w:val="00A5312E"/>
    <w:rsid w:val="00A5341C"/>
    <w:rsid w:val="00A542C0"/>
    <w:rsid w:val="00A54744"/>
    <w:rsid w:val="00A54D7D"/>
    <w:rsid w:val="00A550A9"/>
    <w:rsid w:val="00A550C1"/>
    <w:rsid w:val="00A56529"/>
    <w:rsid w:val="00A5750B"/>
    <w:rsid w:val="00A57A5F"/>
    <w:rsid w:val="00A60012"/>
    <w:rsid w:val="00A6019B"/>
    <w:rsid w:val="00A616FF"/>
    <w:rsid w:val="00A6294E"/>
    <w:rsid w:val="00A62C69"/>
    <w:rsid w:val="00A62D43"/>
    <w:rsid w:val="00A62E0A"/>
    <w:rsid w:val="00A634E6"/>
    <w:rsid w:val="00A6378C"/>
    <w:rsid w:val="00A641A2"/>
    <w:rsid w:val="00A64751"/>
    <w:rsid w:val="00A64A0B"/>
    <w:rsid w:val="00A64A2A"/>
    <w:rsid w:val="00A64FBF"/>
    <w:rsid w:val="00A6509F"/>
    <w:rsid w:val="00A65593"/>
    <w:rsid w:val="00A65DAA"/>
    <w:rsid w:val="00A65F62"/>
    <w:rsid w:val="00A665F6"/>
    <w:rsid w:val="00A665F8"/>
    <w:rsid w:val="00A6672B"/>
    <w:rsid w:val="00A66A37"/>
    <w:rsid w:val="00A66C67"/>
    <w:rsid w:val="00A66DBA"/>
    <w:rsid w:val="00A670DD"/>
    <w:rsid w:val="00A675C3"/>
    <w:rsid w:val="00A70669"/>
    <w:rsid w:val="00A70A80"/>
    <w:rsid w:val="00A711E8"/>
    <w:rsid w:val="00A7158F"/>
    <w:rsid w:val="00A72151"/>
    <w:rsid w:val="00A723FF"/>
    <w:rsid w:val="00A72A82"/>
    <w:rsid w:val="00A73271"/>
    <w:rsid w:val="00A73B8F"/>
    <w:rsid w:val="00A73E33"/>
    <w:rsid w:val="00A742E3"/>
    <w:rsid w:val="00A74D1B"/>
    <w:rsid w:val="00A75295"/>
    <w:rsid w:val="00A75FE7"/>
    <w:rsid w:val="00A76403"/>
    <w:rsid w:val="00A772B8"/>
    <w:rsid w:val="00A77CEE"/>
    <w:rsid w:val="00A77EF8"/>
    <w:rsid w:val="00A77FD5"/>
    <w:rsid w:val="00A80562"/>
    <w:rsid w:val="00A8213F"/>
    <w:rsid w:val="00A82344"/>
    <w:rsid w:val="00A8281F"/>
    <w:rsid w:val="00A828A3"/>
    <w:rsid w:val="00A829AC"/>
    <w:rsid w:val="00A82D0A"/>
    <w:rsid w:val="00A82E8A"/>
    <w:rsid w:val="00A841B4"/>
    <w:rsid w:val="00A84AB2"/>
    <w:rsid w:val="00A84F12"/>
    <w:rsid w:val="00A85354"/>
    <w:rsid w:val="00A858D0"/>
    <w:rsid w:val="00A85B94"/>
    <w:rsid w:val="00A85BBF"/>
    <w:rsid w:val="00A85F92"/>
    <w:rsid w:val="00A86B49"/>
    <w:rsid w:val="00A874C0"/>
    <w:rsid w:val="00A8778A"/>
    <w:rsid w:val="00A909C6"/>
    <w:rsid w:val="00A9105A"/>
    <w:rsid w:val="00A91079"/>
    <w:rsid w:val="00A91B7B"/>
    <w:rsid w:val="00A92296"/>
    <w:rsid w:val="00A92D46"/>
    <w:rsid w:val="00A93954"/>
    <w:rsid w:val="00A95D8B"/>
    <w:rsid w:val="00A9615F"/>
    <w:rsid w:val="00A9622F"/>
    <w:rsid w:val="00A964FB"/>
    <w:rsid w:val="00A96927"/>
    <w:rsid w:val="00A9727D"/>
    <w:rsid w:val="00A97394"/>
    <w:rsid w:val="00A97A1F"/>
    <w:rsid w:val="00A97C42"/>
    <w:rsid w:val="00AA0356"/>
    <w:rsid w:val="00AA0429"/>
    <w:rsid w:val="00AA375B"/>
    <w:rsid w:val="00AA3E3F"/>
    <w:rsid w:val="00AA412C"/>
    <w:rsid w:val="00AA42D0"/>
    <w:rsid w:val="00AA49FD"/>
    <w:rsid w:val="00AA4B4D"/>
    <w:rsid w:val="00AA4FC3"/>
    <w:rsid w:val="00AA5002"/>
    <w:rsid w:val="00AA5056"/>
    <w:rsid w:val="00AA5222"/>
    <w:rsid w:val="00AA539C"/>
    <w:rsid w:val="00AA57F6"/>
    <w:rsid w:val="00AA5B24"/>
    <w:rsid w:val="00AA675D"/>
    <w:rsid w:val="00AA7024"/>
    <w:rsid w:val="00AA7650"/>
    <w:rsid w:val="00AB0399"/>
    <w:rsid w:val="00AB0461"/>
    <w:rsid w:val="00AB1A16"/>
    <w:rsid w:val="00AB1F1F"/>
    <w:rsid w:val="00AB24A9"/>
    <w:rsid w:val="00AB2602"/>
    <w:rsid w:val="00AB2A51"/>
    <w:rsid w:val="00AB2EE5"/>
    <w:rsid w:val="00AB3200"/>
    <w:rsid w:val="00AB3DDE"/>
    <w:rsid w:val="00AB45CE"/>
    <w:rsid w:val="00AB462A"/>
    <w:rsid w:val="00AB4AF7"/>
    <w:rsid w:val="00AB5E2B"/>
    <w:rsid w:val="00AB61E3"/>
    <w:rsid w:val="00AB6892"/>
    <w:rsid w:val="00AB6EEC"/>
    <w:rsid w:val="00AB7636"/>
    <w:rsid w:val="00AB79C5"/>
    <w:rsid w:val="00AC022B"/>
    <w:rsid w:val="00AC1695"/>
    <w:rsid w:val="00AC1ACD"/>
    <w:rsid w:val="00AC26F2"/>
    <w:rsid w:val="00AC4182"/>
    <w:rsid w:val="00AC4285"/>
    <w:rsid w:val="00AC53D6"/>
    <w:rsid w:val="00AC5B04"/>
    <w:rsid w:val="00AC6C3E"/>
    <w:rsid w:val="00AC6F33"/>
    <w:rsid w:val="00AC7A94"/>
    <w:rsid w:val="00AC7C51"/>
    <w:rsid w:val="00AD0457"/>
    <w:rsid w:val="00AD0E2A"/>
    <w:rsid w:val="00AD16B2"/>
    <w:rsid w:val="00AD17F9"/>
    <w:rsid w:val="00AD1BC6"/>
    <w:rsid w:val="00AD1D7C"/>
    <w:rsid w:val="00AD2DF9"/>
    <w:rsid w:val="00AD4580"/>
    <w:rsid w:val="00AD4EAE"/>
    <w:rsid w:val="00AD55F8"/>
    <w:rsid w:val="00AD565A"/>
    <w:rsid w:val="00AD68A2"/>
    <w:rsid w:val="00AD70C0"/>
    <w:rsid w:val="00AD70C5"/>
    <w:rsid w:val="00AD775C"/>
    <w:rsid w:val="00AD77E2"/>
    <w:rsid w:val="00AE0058"/>
    <w:rsid w:val="00AE0379"/>
    <w:rsid w:val="00AE08CF"/>
    <w:rsid w:val="00AE0D50"/>
    <w:rsid w:val="00AE1FFF"/>
    <w:rsid w:val="00AE21B2"/>
    <w:rsid w:val="00AE2BAB"/>
    <w:rsid w:val="00AE2BF0"/>
    <w:rsid w:val="00AE3B36"/>
    <w:rsid w:val="00AE4146"/>
    <w:rsid w:val="00AE4600"/>
    <w:rsid w:val="00AE4C91"/>
    <w:rsid w:val="00AE505B"/>
    <w:rsid w:val="00AE5779"/>
    <w:rsid w:val="00AE5A3F"/>
    <w:rsid w:val="00AE64E9"/>
    <w:rsid w:val="00AE6600"/>
    <w:rsid w:val="00AF0E55"/>
    <w:rsid w:val="00AF13FC"/>
    <w:rsid w:val="00AF1A43"/>
    <w:rsid w:val="00AF1B7E"/>
    <w:rsid w:val="00AF1F50"/>
    <w:rsid w:val="00AF2521"/>
    <w:rsid w:val="00AF3530"/>
    <w:rsid w:val="00AF4F95"/>
    <w:rsid w:val="00AF5728"/>
    <w:rsid w:val="00AF5D10"/>
    <w:rsid w:val="00AF64B4"/>
    <w:rsid w:val="00AF666A"/>
    <w:rsid w:val="00B0016C"/>
    <w:rsid w:val="00B0124E"/>
    <w:rsid w:val="00B01860"/>
    <w:rsid w:val="00B01F63"/>
    <w:rsid w:val="00B0238E"/>
    <w:rsid w:val="00B026BF"/>
    <w:rsid w:val="00B02848"/>
    <w:rsid w:val="00B03339"/>
    <w:rsid w:val="00B037D0"/>
    <w:rsid w:val="00B04BA0"/>
    <w:rsid w:val="00B04C3B"/>
    <w:rsid w:val="00B0524A"/>
    <w:rsid w:val="00B055E6"/>
    <w:rsid w:val="00B05932"/>
    <w:rsid w:val="00B05B31"/>
    <w:rsid w:val="00B06DD4"/>
    <w:rsid w:val="00B075C5"/>
    <w:rsid w:val="00B07C34"/>
    <w:rsid w:val="00B07D5C"/>
    <w:rsid w:val="00B1036A"/>
    <w:rsid w:val="00B10913"/>
    <w:rsid w:val="00B10EC5"/>
    <w:rsid w:val="00B11253"/>
    <w:rsid w:val="00B119B5"/>
    <w:rsid w:val="00B11EFF"/>
    <w:rsid w:val="00B12D9B"/>
    <w:rsid w:val="00B12FBC"/>
    <w:rsid w:val="00B1321E"/>
    <w:rsid w:val="00B1358B"/>
    <w:rsid w:val="00B139CC"/>
    <w:rsid w:val="00B13BAD"/>
    <w:rsid w:val="00B13E17"/>
    <w:rsid w:val="00B142BE"/>
    <w:rsid w:val="00B145AE"/>
    <w:rsid w:val="00B1467C"/>
    <w:rsid w:val="00B14AE9"/>
    <w:rsid w:val="00B14B9A"/>
    <w:rsid w:val="00B14C0F"/>
    <w:rsid w:val="00B16500"/>
    <w:rsid w:val="00B17441"/>
    <w:rsid w:val="00B17DB7"/>
    <w:rsid w:val="00B2066E"/>
    <w:rsid w:val="00B2116F"/>
    <w:rsid w:val="00B2144A"/>
    <w:rsid w:val="00B2236B"/>
    <w:rsid w:val="00B2333C"/>
    <w:rsid w:val="00B23617"/>
    <w:rsid w:val="00B241B4"/>
    <w:rsid w:val="00B2464D"/>
    <w:rsid w:val="00B25466"/>
    <w:rsid w:val="00B25733"/>
    <w:rsid w:val="00B2613F"/>
    <w:rsid w:val="00B2660A"/>
    <w:rsid w:val="00B26941"/>
    <w:rsid w:val="00B26B71"/>
    <w:rsid w:val="00B26CF7"/>
    <w:rsid w:val="00B30E13"/>
    <w:rsid w:val="00B3104C"/>
    <w:rsid w:val="00B31383"/>
    <w:rsid w:val="00B322D5"/>
    <w:rsid w:val="00B32897"/>
    <w:rsid w:val="00B32918"/>
    <w:rsid w:val="00B32C59"/>
    <w:rsid w:val="00B3395F"/>
    <w:rsid w:val="00B341E1"/>
    <w:rsid w:val="00B34629"/>
    <w:rsid w:val="00B35114"/>
    <w:rsid w:val="00B360E1"/>
    <w:rsid w:val="00B3652B"/>
    <w:rsid w:val="00B3718C"/>
    <w:rsid w:val="00B37BC2"/>
    <w:rsid w:val="00B40912"/>
    <w:rsid w:val="00B40B9D"/>
    <w:rsid w:val="00B4218B"/>
    <w:rsid w:val="00B421D8"/>
    <w:rsid w:val="00B430A6"/>
    <w:rsid w:val="00B432EB"/>
    <w:rsid w:val="00B43A2A"/>
    <w:rsid w:val="00B44129"/>
    <w:rsid w:val="00B4486D"/>
    <w:rsid w:val="00B44B32"/>
    <w:rsid w:val="00B44F87"/>
    <w:rsid w:val="00B45039"/>
    <w:rsid w:val="00B4515B"/>
    <w:rsid w:val="00B45EE8"/>
    <w:rsid w:val="00B4602F"/>
    <w:rsid w:val="00B46174"/>
    <w:rsid w:val="00B46248"/>
    <w:rsid w:val="00B463AE"/>
    <w:rsid w:val="00B46726"/>
    <w:rsid w:val="00B46D85"/>
    <w:rsid w:val="00B47776"/>
    <w:rsid w:val="00B47B13"/>
    <w:rsid w:val="00B47DBC"/>
    <w:rsid w:val="00B50B86"/>
    <w:rsid w:val="00B50D64"/>
    <w:rsid w:val="00B517B7"/>
    <w:rsid w:val="00B51A1B"/>
    <w:rsid w:val="00B51C62"/>
    <w:rsid w:val="00B5233F"/>
    <w:rsid w:val="00B5246C"/>
    <w:rsid w:val="00B53512"/>
    <w:rsid w:val="00B5351C"/>
    <w:rsid w:val="00B536CE"/>
    <w:rsid w:val="00B537BE"/>
    <w:rsid w:val="00B543B1"/>
    <w:rsid w:val="00B546F4"/>
    <w:rsid w:val="00B54AE7"/>
    <w:rsid w:val="00B55665"/>
    <w:rsid w:val="00B56537"/>
    <w:rsid w:val="00B5663F"/>
    <w:rsid w:val="00B5708F"/>
    <w:rsid w:val="00B60676"/>
    <w:rsid w:val="00B60CA6"/>
    <w:rsid w:val="00B61404"/>
    <w:rsid w:val="00B618B6"/>
    <w:rsid w:val="00B625A4"/>
    <w:rsid w:val="00B62D2D"/>
    <w:rsid w:val="00B6460E"/>
    <w:rsid w:val="00B64765"/>
    <w:rsid w:val="00B64C7D"/>
    <w:rsid w:val="00B64F5E"/>
    <w:rsid w:val="00B65057"/>
    <w:rsid w:val="00B66A11"/>
    <w:rsid w:val="00B701E8"/>
    <w:rsid w:val="00B7053E"/>
    <w:rsid w:val="00B71150"/>
    <w:rsid w:val="00B716DE"/>
    <w:rsid w:val="00B71DAC"/>
    <w:rsid w:val="00B7217F"/>
    <w:rsid w:val="00B72A4A"/>
    <w:rsid w:val="00B73154"/>
    <w:rsid w:val="00B73645"/>
    <w:rsid w:val="00B739D6"/>
    <w:rsid w:val="00B73C40"/>
    <w:rsid w:val="00B73F18"/>
    <w:rsid w:val="00B73FD8"/>
    <w:rsid w:val="00B74928"/>
    <w:rsid w:val="00B760B9"/>
    <w:rsid w:val="00B76705"/>
    <w:rsid w:val="00B7677F"/>
    <w:rsid w:val="00B77F1B"/>
    <w:rsid w:val="00B80196"/>
    <w:rsid w:val="00B807B4"/>
    <w:rsid w:val="00B80C49"/>
    <w:rsid w:val="00B80CA4"/>
    <w:rsid w:val="00B80CC6"/>
    <w:rsid w:val="00B8177B"/>
    <w:rsid w:val="00B81924"/>
    <w:rsid w:val="00B81CA4"/>
    <w:rsid w:val="00B82027"/>
    <w:rsid w:val="00B820DF"/>
    <w:rsid w:val="00B82253"/>
    <w:rsid w:val="00B824A3"/>
    <w:rsid w:val="00B82E67"/>
    <w:rsid w:val="00B83349"/>
    <w:rsid w:val="00B839B8"/>
    <w:rsid w:val="00B84068"/>
    <w:rsid w:val="00B84463"/>
    <w:rsid w:val="00B84957"/>
    <w:rsid w:val="00B852DD"/>
    <w:rsid w:val="00B85A25"/>
    <w:rsid w:val="00B871B9"/>
    <w:rsid w:val="00B87617"/>
    <w:rsid w:val="00B876E2"/>
    <w:rsid w:val="00B87868"/>
    <w:rsid w:val="00B90A9A"/>
    <w:rsid w:val="00B90CEF"/>
    <w:rsid w:val="00B912AC"/>
    <w:rsid w:val="00B91816"/>
    <w:rsid w:val="00B91EFB"/>
    <w:rsid w:val="00B91FB4"/>
    <w:rsid w:val="00B924A8"/>
    <w:rsid w:val="00B928EC"/>
    <w:rsid w:val="00B93089"/>
    <w:rsid w:val="00B94D26"/>
    <w:rsid w:val="00B94F88"/>
    <w:rsid w:val="00B95722"/>
    <w:rsid w:val="00B95E61"/>
    <w:rsid w:val="00B9692E"/>
    <w:rsid w:val="00BA2014"/>
    <w:rsid w:val="00BA2128"/>
    <w:rsid w:val="00BA245F"/>
    <w:rsid w:val="00BA295C"/>
    <w:rsid w:val="00BA2A7F"/>
    <w:rsid w:val="00BA3E66"/>
    <w:rsid w:val="00BA41F3"/>
    <w:rsid w:val="00BA522C"/>
    <w:rsid w:val="00BA5C16"/>
    <w:rsid w:val="00BA5F7D"/>
    <w:rsid w:val="00BA680A"/>
    <w:rsid w:val="00BB1203"/>
    <w:rsid w:val="00BB1830"/>
    <w:rsid w:val="00BB1A4F"/>
    <w:rsid w:val="00BB1D71"/>
    <w:rsid w:val="00BB20DF"/>
    <w:rsid w:val="00BB2FB3"/>
    <w:rsid w:val="00BB2FCF"/>
    <w:rsid w:val="00BB39D5"/>
    <w:rsid w:val="00BB41A9"/>
    <w:rsid w:val="00BB51CE"/>
    <w:rsid w:val="00BB51E4"/>
    <w:rsid w:val="00BB5CFC"/>
    <w:rsid w:val="00BB5DF3"/>
    <w:rsid w:val="00BB5E6D"/>
    <w:rsid w:val="00BB6726"/>
    <w:rsid w:val="00BB74C9"/>
    <w:rsid w:val="00BC0247"/>
    <w:rsid w:val="00BC312A"/>
    <w:rsid w:val="00BC323D"/>
    <w:rsid w:val="00BC351B"/>
    <w:rsid w:val="00BC39E7"/>
    <w:rsid w:val="00BC3C27"/>
    <w:rsid w:val="00BC3CF7"/>
    <w:rsid w:val="00BC3E1C"/>
    <w:rsid w:val="00BC404F"/>
    <w:rsid w:val="00BC414D"/>
    <w:rsid w:val="00BC41C6"/>
    <w:rsid w:val="00BC434D"/>
    <w:rsid w:val="00BC5123"/>
    <w:rsid w:val="00BC752C"/>
    <w:rsid w:val="00BD16D5"/>
    <w:rsid w:val="00BD1A78"/>
    <w:rsid w:val="00BD1DE4"/>
    <w:rsid w:val="00BD1DE6"/>
    <w:rsid w:val="00BD234D"/>
    <w:rsid w:val="00BD354E"/>
    <w:rsid w:val="00BD3E69"/>
    <w:rsid w:val="00BD3EB1"/>
    <w:rsid w:val="00BD3F66"/>
    <w:rsid w:val="00BD5C94"/>
    <w:rsid w:val="00BD5EB6"/>
    <w:rsid w:val="00BD697B"/>
    <w:rsid w:val="00BD7CC7"/>
    <w:rsid w:val="00BE077C"/>
    <w:rsid w:val="00BE0806"/>
    <w:rsid w:val="00BE08E3"/>
    <w:rsid w:val="00BE0C29"/>
    <w:rsid w:val="00BE1B9E"/>
    <w:rsid w:val="00BE25B5"/>
    <w:rsid w:val="00BE3669"/>
    <w:rsid w:val="00BE36F3"/>
    <w:rsid w:val="00BE3842"/>
    <w:rsid w:val="00BE39D4"/>
    <w:rsid w:val="00BE3B88"/>
    <w:rsid w:val="00BE5068"/>
    <w:rsid w:val="00BE52BA"/>
    <w:rsid w:val="00BE5EF8"/>
    <w:rsid w:val="00BE630F"/>
    <w:rsid w:val="00BE75B1"/>
    <w:rsid w:val="00BE76F9"/>
    <w:rsid w:val="00BE7C8D"/>
    <w:rsid w:val="00BF0D36"/>
    <w:rsid w:val="00BF12FE"/>
    <w:rsid w:val="00BF1BF6"/>
    <w:rsid w:val="00BF20D9"/>
    <w:rsid w:val="00BF2425"/>
    <w:rsid w:val="00BF318E"/>
    <w:rsid w:val="00BF3529"/>
    <w:rsid w:val="00BF46E3"/>
    <w:rsid w:val="00BF477C"/>
    <w:rsid w:val="00BF4941"/>
    <w:rsid w:val="00BF5A39"/>
    <w:rsid w:val="00BF5DF7"/>
    <w:rsid w:val="00BF5E52"/>
    <w:rsid w:val="00BF6BB2"/>
    <w:rsid w:val="00BF7147"/>
    <w:rsid w:val="00BF71CD"/>
    <w:rsid w:val="00BF79E2"/>
    <w:rsid w:val="00BF7F25"/>
    <w:rsid w:val="00C00996"/>
    <w:rsid w:val="00C00C95"/>
    <w:rsid w:val="00C00D5D"/>
    <w:rsid w:val="00C00D9F"/>
    <w:rsid w:val="00C016F2"/>
    <w:rsid w:val="00C01FEC"/>
    <w:rsid w:val="00C01FF8"/>
    <w:rsid w:val="00C0200D"/>
    <w:rsid w:val="00C02659"/>
    <w:rsid w:val="00C029FA"/>
    <w:rsid w:val="00C0351C"/>
    <w:rsid w:val="00C03996"/>
    <w:rsid w:val="00C04163"/>
    <w:rsid w:val="00C04364"/>
    <w:rsid w:val="00C043E7"/>
    <w:rsid w:val="00C046A8"/>
    <w:rsid w:val="00C05E13"/>
    <w:rsid w:val="00C06450"/>
    <w:rsid w:val="00C07506"/>
    <w:rsid w:val="00C0767A"/>
    <w:rsid w:val="00C10009"/>
    <w:rsid w:val="00C1007F"/>
    <w:rsid w:val="00C10164"/>
    <w:rsid w:val="00C10893"/>
    <w:rsid w:val="00C109B1"/>
    <w:rsid w:val="00C11307"/>
    <w:rsid w:val="00C1140B"/>
    <w:rsid w:val="00C1162E"/>
    <w:rsid w:val="00C11CF4"/>
    <w:rsid w:val="00C11DF5"/>
    <w:rsid w:val="00C1386B"/>
    <w:rsid w:val="00C13D8D"/>
    <w:rsid w:val="00C13E8F"/>
    <w:rsid w:val="00C14F4B"/>
    <w:rsid w:val="00C1570C"/>
    <w:rsid w:val="00C161BF"/>
    <w:rsid w:val="00C1636E"/>
    <w:rsid w:val="00C17055"/>
    <w:rsid w:val="00C17A29"/>
    <w:rsid w:val="00C204FB"/>
    <w:rsid w:val="00C20ECB"/>
    <w:rsid w:val="00C21A02"/>
    <w:rsid w:val="00C22654"/>
    <w:rsid w:val="00C22943"/>
    <w:rsid w:val="00C22F57"/>
    <w:rsid w:val="00C2370C"/>
    <w:rsid w:val="00C239E8"/>
    <w:rsid w:val="00C24556"/>
    <w:rsid w:val="00C251A3"/>
    <w:rsid w:val="00C255B7"/>
    <w:rsid w:val="00C25B5B"/>
    <w:rsid w:val="00C25EC3"/>
    <w:rsid w:val="00C2674E"/>
    <w:rsid w:val="00C2678F"/>
    <w:rsid w:val="00C26CB5"/>
    <w:rsid w:val="00C27193"/>
    <w:rsid w:val="00C27EE0"/>
    <w:rsid w:val="00C27EEF"/>
    <w:rsid w:val="00C30B02"/>
    <w:rsid w:val="00C30BB8"/>
    <w:rsid w:val="00C30C8D"/>
    <w:rsid w:val="00C3180F"/>
    <w:rsid w:val="00C320D2"/>
    <w:rsid w:val="00C3370A"/>
    <w:rsid w:val="00C3391B"/>
    <w:rsid w:val="00C340FC"/>
    <w:rsid w:val="00C34575"/>
    <w:rsid w:val="00C35FA5"/>
    <w:rsid w:val="00C36D89"/>
    <w:rsid w:val="00C37295"/>
    <w:rsid w:val="00C37748"/>
    <w:rsid w:val="00C37D03"/>
    <w:rsid w:val="00C4132E"/>
    <w:rsid w:val="00C42054"/>
    <w:rsid w:val="00C429C9"/>
    <w:rsid w:val="00C42DC1"/>
    <w:rsid w:val="00C43989"/>
    <w:rsid w:val="00C44A0D"/>
    <w:rsid w:val="00C44B3F"/>
    <w:rsid w:val="00C45931"/>
    <w:rsid w:val="00C45B51"/>
    <w:rsid w:val="00C460F8"/>
    <w:rsid w:val="00C46435"/>
    <w:rsid w:val="00C46CDF"/>
    <w:rsid w:val="00C47157"/>
    <w:rsid w:val="00C47C77"/>
    <w:rsid w:val="00C47C7F"/>
    <w:rsid w:val="00C504A0"/>
    <w:rsid w:val="00C515B3"/>
    <w:rsid w:val="00C518F0"/>
    <w:rsid w:val="00C51E23"/>
    <w:rsid w:val="00C526C7"/>
    <w:rsid w:val="00C52FA6"/>
    <w:rsid w:val="00C53243"/>
    <w:rsid w:val="00C53B25"/>
    <w:rsid w:val="00C53D6D"/>
    <w:rsid w:val="00C54587"/>
    <w:rsid w:val="00C54EC0"/>
    <w:rsid w:val="00C5565D"/>
    <w:rsid w:val="00C559DF"/>
    <w:rsid w:val="00C55A45"/>
    <w:rsid w:val="00C55EA6"/>
    <w:rsid w:val="00C560E9"/>
    <w:rsid w:val="00C5620D"/>
    <w:rsid w:val="00C56717"/>
    <w:rsid w:val="00C56DCA"/>
    <w:rsid w:val="00C5706D"/>
    <w:rsid w:val="00C60185"/>
    <w:rsid w:val="00C60D47"/>
    <w:rsid w:val="00C61570"/>
    <w:rsid w:val="00C619DC"/>
    <w:rsid w:val="00C62000"/>
    <w:rsid w:val="00C624F9"/>
    <w:rsid w:val="00C633DB"/>
    <w:rsid w:val="00C63738"/>
    <w:rsid w:val="00C64D76"/>
    <w:rsid w:val="00C65BD4"/>
    <w:rsid w:val="00C6705A"/>
    <w:rsid w:val="00C7076A"/>
    <w:rsid w:val="00C7083F"/>
    <w:rsid w:val="00C7099F"/>
    <w:rsid w:val="00C71A4C"/>
    <w:rsid w:val="00C71F09"/>
    <w:rsid w:val="00C7217B"/>
    <w:rsid w:val="00C7272A"/>
    <w:rsid w:val="00C7307F"/>
    <w:rsid w:val="00C7345D"/>
    <w:rsid w:val="00C74054"/>
    <w:rsid w:val="00C74266"/>
    <w:rsid w:val="00C74B69"/>
    <w:rsid w:val="00C74C9F"/>
    <w:rsid w:val="00C750F0"/>
    <w:rsid w:val="00C752E0"/>
    <w:rsid w:val="00C75515"/>
    <w:rsid w:val="00C760A6"/>
    <w:rsid w:val="00C760B2"/>
    <w:rsid w:val="00C764BD"/>
    <w:rsid w:val="00C80F7F"/>
    <w:rsid w:val="00C813FE"/>
    <w:rsid w:val="00C81C3E"/>
    <w:rsid w:val="00C81DF4"/>
    <w:rsid w:val="00C81FF8"/>
    <w:rsid w:val="00C82521"/>
    <w:rsid w:val="00C830D9"/>
    <w:rsid w:val="00C833EB"/>
    <w:rsid w:val="00C8400F"/>
    <w:rsid w:val="00C84328"/>
    <w:rsid w:val="00C84777"/>
    <w:rsid w:val="00C850CE"/>
    <w:rsid w:val="00C85203"/>
    <w:rsid w:val="00C8633B"/>
    <w:rsid w:val="00C871F4"/>
    <w:rsid w:val="00C90970"/>
    <w:rsid w:val="00C90E5E"/>
    <w:rsid w:val="00C90F34"/>
    <w:rsid w:val="00C91087"/>
    <w:rsid w:val="00C91183"/>
    <w:rsid w:val="00C91C76"/>
    <w:rsid w:val="00C91DD6"/>
    <w:rsid w:val="00C9211F"/>
    <w:rsid w:val="00C92302"/>
    <w:rsid w:val="00C92372"/>
    <w:rsid w:val="00C92471"/>
    <w:rsid w:val="00C9349F"/>
    <w:rsid w:val="00C93B7C"/>
    <w:rsid w:val="00C93F01"/>
    <w:rsid w:val="00C9437E"/>
    <w:rsid w:val="00C95332"/>
    <w:rsid w:val="00C9640B"/>
    <w:rsid w:val="00C965FE"/>
    <w:rsid w:val="00C96F1F"/>
    <w:rsid w:val="00C97026"/>
    <w:rsid w:val="00CA1492"/>
    <w:rsid w:val="00CA163B"/>
    <w:rsid w:val="00CA1DD4"/>
    <w:rsid w:val="00CA22D7"/>
    <w:rsid w:val="00CA25BB"/>
    <w:rsid w:val="00CA304D"/>
    <w:rsid w:val="00CA4CD9"/>
    <w:rsid w:val="00CA53AB"/>
    <w:rsid w:val="00CA5C6F"/>
    <w:rsid w:val="00CA6081"/>
    <w:rsid w:val="00CA62D2"/>
    <w:rsid w:val="00CA6C8F"/>
    <w:rsid w:val="00CA6D6C"/>
    <w:rsid w:val="00CA6E9D"/>
    <w:rsid w:val="00CA7238"/>
    <w:rsid w:val="00CA749A"/>
    <w:rsid w:val="00CA7DE4"/>
    <w:rsid w:val="00CB0947"/>
    <w:rsid w:val="00CB0CF7"/>
    <w:rsid w:val="00CB0DDD"/>
    <w:rsid w:val="00CB13D3"/>
    <w:rsid w:val="00CB15C1"/>
    <w:rsid w:val="00CB2339"/>
    <w:rsid w:val="00CB2518"/>
    <w:rsid w:val="00CB28C3"/>
    <w:rsid w:val="00CB2C2C"/>
    <w:rsid w:val="00CB3E96"/>
    <w:rsid w:val="00CB455C"/>
    <w:rsid w:val="00CB53EC"/>
    <w:rsid w:val="00CB5585"/>
    <w:rsid w:val="00CB6843"/>
    <w:rsid w:val="00CB6A22"/>
    <w:rsid w:val="00CB6FE4"/>
    <w:rsid w:val="00CB7104"/>
    <w:rsid w:val="00CB74B0"/>
    <w:rsid w:val="00CB74F7"/>
    <w:rsid w:val="00CB7EC1"/>
    <w:rsid w:val="00CC30CD"/>
    <w:rsid w:val="00CC47AC"/>
    <w:rsid w:val="00CC4B4C"/>
    <w:rsid w:val="00CC4FF6"/>
    <w:rsid w:val="00CC58DB"/>
    <w:rsid w:val="00CC5C26"/>
    <w:rsid w:val="00CC6706"/>
    <w:rsid w:val="00CC6CF4"/>
    <w:rsid w:val="00CC7DBD"/>
    <w:rsid w:val="00CD0636"/>
    <w:rsid w:val="00CD0C8A"/>
    <w:rsid w:val="00CD0CA7"/>
    <w:rsid w:val="00CD24C9"/>
    <w:rsid w:val="00CD3063"/>
    <w:rsid w:val="00CD3333"/>
    <w:rsid w:val="00CD3C71"/>
    <w:rsid w:val="00CD4544"/>
    <w:rsid w:val="00CD4629"/>
    <w:rsid w:val="00CD4DAE"/>
    <w:rsid w:val="00CD53AD"/>
    <w:rsid w:val="00CD731F"/>
    <w:rsid w:val="00CD7338"/>
    <w:rsid w:val="00CE000B"/>
    <w:rsid w:val="00CE0668"/>
    <w:rsid w:val="00CE1B06"/>
    <w:rsid w:val="00CE2935"/>
    <w:rsid w:val="00CE2FCD"/>
    <w:rsid w:val="00CE3258"/>
    <w:rsid w:val="00CE3A62"/>
    <w:rsid w:val="00CE43F6"/>
    <w:rsid w:val="00CE48AD"/>
    <w:rsid w:val="00CE4B59"/>
    <w:rsid w:val="00CE61E4"/>
    <w:rsid w:val="00CE6276"/>
    <w:rsid w:val="00CE6480"/>
    <w:rsid w:val="00CE7AF4"/>
    <w:rsid w:val="00CE7AF9"/>
    <w:rsid w:val="00CE7FD6"/>
    <w:rsid w:val="00CF018E"/>
    <w:rsid w:val="00CF02FC"/>
    <w:rsid w:val="00CF046F"/>
    <w:rsid w:val="00CF1129"/>
    <w:rsid w:val="00CF17EA"/>
    <w:rsid w:val="00CF1B4A"/>
    <w:rsid w:val="00CF1C36"/>
    <w:rsid w:val="00CF1EB2"/>
    <w:rsid w:val="00CF1EF8"/>
    <w:rsid w:val="00CF2E0F"/>
    <w:rsid w:val="00CF2E54"/>
    <w:rsid w:val="00CF3208"/>
    <w:rsid w:val="00CF32EA"/>
    <w:rsid w:val="00CF3354"/>
    <w:rsid w:val="00CF351A"/>
    <w:rsid w:val="00CF41AA"/>
    <w:rsid w:val="00CF53A5"/>
    <w:rsid w:val="00CF677B"/>
    <w:rsid w:val="00CF68DE"/>
    <w:rsid w:val="00CF6D32"/>
    <w:rsid w:val="00CF6EA7"/>
    <w:rsid w:val="00CF7A80"/>
    <w:rsid w:val="00CF7EA2"/>
    <w:rsid w:val="00D00AEE"/>
    <w:rsid w:val="00D00B25"/>
    <w:rsid w:val="00D00C20"/>
    <w:rsid w:val="00D01E80"/>
    <w:rsid w:val="00D01F9D"/>
    <w:rsid w:val="00D0207A"/>
    <w:rsid w:val="00D02382"/>
    <w:rsid w:val="00D026DC"/>
    <w:rsid w:val="00D029C8"/>
    <w:rsid w:val="00D03642"/>
    <w:rsid w:val="00D04B12"/>
    <w:rsid w:val="00D051F5"/>
    <w:rsid w:val="00D05A33"/>
    <w:rsid w:val="00D05A79"/>
    <w:rsid w:val="00D05EBE"/>
    <w:rsid w:val="00D06594"/>
    <w:rsid w:val="00D071A6"/>
    <w:rsid w:val="00D0736C"/>
    <w:rsid w:val="00D105DF"/>
    <w:rsid w:val="00D11069"/>
    <w:rsid w:val="00D11152"/>
    <w:rsid w:val="00D118BF"/>
    <w:rsid w:val="00D11901"/>
    <w:rsid w:val="00D1199F"/>
    <w:rsid w:val="00D1202E"/>
    <w:rsid w:val="00D1234C"/>
    <w:rsid w:val="00D124D2"/>
    <w:rsid w:val="00D1371B"/>
    <w:rsid w:val="00D1425E"/>
    <w:rsid w:val="00D14311"/>
    <w:rsid w:val="00D15B69"/>
    <w:rsid w:val="00D164D1"/>
    <w:rsid w:val="00D1674D"/>
    <w:rsid w:val="00D16A12"/>
    <w:rsid w:val="00D16F69"/>
    <w:rsid w:val="00D173EB"/>
    <w:rsid w:val="00D1796E"/>
    <w:rsid w:val="00D20A4D"/>
    <w:rsid w:val="00D20B8F"/>
    <w:rsid w:val="00D20CA0"/>
    <w:rsid w:val="00D20FD0"/>
    <w:rsid w:val="00D21026"/>
    <w:rsid w:val="00D2108F"/>
    <w:rsid w:val="00D218B2"/>
    <w:rsid w:val="00D21A28"/>
    <w:rsid w:val="00D21C6B"/>
    <w:rsid w:val="00D22971"/>
    <w:rsid w:val="00D22A80"/>
    <w:rsid w:val="00D22CD3"/>
    <w:rsid w:val="00D246F0"/>
    <w:rsid w:val="00D24A4B"/>
    <w:rsid w:val="00D24AB8"/>
    <w:rsid w:val="00D24CD2"/>
    <w:rsid w:val="00D258BE"/>
    <w:rsid w:val="00D25EEF"/>
    <w:rsid w:val="00D2635B"/>
    <w:rsid w:val="00D2696F"/>
    <w:rsid w:val="00D26A53"/>
    <w:rsid w:val="00D272D5"/>
    <w:rsid w:val="00D300EF"/>
    <w:rsid w:val="00D3040C"/>
    <w:rsid w:val="00D30C3C"/>
    <w:rsid w:val="00D31057"/>
    <w:rsid w:val="00D31119"/>
    <w:rsid w:val="00D3112F"/>
    <w:rsid w:val="00D312F3"/>
    <w:rsid w:val="00D31E20"/>
    <w:rsid w:val="00D32A05"/>
    <w:rsid w:val="00D33357"/>
    <w:rsid w:val="00D342CD"/>
    <w:rsid w:val="00D3433B"/>
    <w:rsid w:val="00D34670"/>
    <w:rsid w:val="00D35125"/>
    <w:rsid w:val="00D35851"/>
    <w:rsid w:val="00D35FB8"/>
    <w:rsid w:val="00D3671F"/>
    <w:rsid w:val="00D37326"/>
    <w:rsid w:val="00D3777B"/>
    <w:rsid w:val="00D3784A"/>
    <w:rsid w:val="00D40444"/>
    <w:rsid w:val="00D4126E"/>
    <w:rsid w:val="00D43A84"/>
    <w:rsid w:val="00D4562A"/>
    <w:rsid w:val="00D458F9"/>
    <w:rsid w:val="00D45AB6"/>
    <w:rsid w:val="00D46623"/>
    <w:rsid w:val="00D47131"/>
    <w:rsid w:val="00D471DE"/>
    <w:rsid w:val="00D47358"/>
    <w:rsid w:val="00D475AD"/>
    <w:rsid w:val="00D476A3"/>
    <w:rsid w:val="00D47820"/>
    <w:rsid w:val="00D47E6B"/>
    <w:rsid w:val="00D503FF"/>
    <w:rsid w:val="00D50B42"/>
    <w:rsid w:val="00D51134"/>
    <w:rsid w:val="00D5117C"/>
    <w:rsid w:val="00D51E6F"/>
    <w:rsid w:val="00D520FE"/>
    <w:rsid w:val="00D529AD"/>
    <w:rsid w:val="00D53EE5"/>
    <w:rsid w:val="00D54BF3"/>
    <w:rsid w:val="00D5513F"/>
    <w:rsid w:val="00D553F1"/>
    <w:rsid w:val="00D5544D"/>
    <w:rsid w:val="00D55995"/>
    <w:rsid w:val="00D55ACD"/>
    <w:rsid w:val="00D55DC3"/>
    <w:rsid w:val="00D56112"/>
    <w:rsid w:val="00D57444"/>
    <w:rsid w:val="00D574AE"/>
    <w:rsid w:val="00D57662"/>
    <w:rsid w:val="00D6036B"/>
    <w:rsid w:val="00D60558"/>
    <w:rsid w:val="00D609E8"/>
    <w:rsid w:val="00D6183E"/>
    <w:rsid w:val="00D62871"/>
    <w:rsid w:val="00D63603"/>
    <w:rsid w:val="00D63854"/>
    <w:rsid w:val="00D63B68"/>
    <w:rsid w:val="00D63C58"/>
    <w:rsid w:val="00D63E96"/>
    <w:rsid w:val="00D65286"/>
    <w:rsid w:val="00D661A1"/>
    <w:rsid w:val="00D6674B"/>
    <w:rsid w:val="00D668F4"/>
    <w:rsid w:val="00D66D6C"/>
    <w:rsid w:val="00D71614"/>
    <w:rsid w:val="00D71861"/>
    <w:rsid w:val="00D71E6B"/>
    <w:rsid w:val="00D7246B"/>
    <w:rsid w:val="00D7247D"/>
    <w:rsid w:val="00D7330B"/>
    <w:rsid w:val="00D73C1C"/>
    <w:rsid w:val="00D740F4"/>
    <w:rsid w:val="00D741E4"/>
    <w:rsid w:val="00D76176"/>
    <w:rsid w:val="00D76E42"/>
    <w:rsid w:val="00D775CC"/>
    <w:rsid w:val="00D776E7"/>
    <w:rsid w:val="00D80220"/>
    <w:rsid w:val="00D8176E"/>
    <w:rsid w:val="00D81D89"/>
    <w:rsid w:val="00D82456"/>
    <w:rsid w:val="00D82963"/>
    <w:rsid w:val="00D82FCB"/>
    <w:rsid w:val="00D831FE"/>
    <w:rsid w:val="00D83884"/>
    <w:rsid w:val="00D838D5"/>
    <w:rsid w:val="00D83BD9"/>
    <w:rsid w:val="00D842A7"/>
    <w:rsid w:val="00D843F3"/>
    <w:rsid w:val="00D847B6"/>
    <w:rsid w:val="00D84A7D"/>
    <w:rsid w:val="00D84D2C"/>
    <w:rsid w:val="00D8528B"/>
    <w:rsid w:val="00D85BAB"/>
    <w:rsid w:val="00D86044"/>
    <w:rsid w:val="00D8671B"/>
    <w:rsid w:val="00D86FB3"/>
    <w:rsid w:val="00D87017"/>
    <w:rsid w:val="00D87176"/>
    <w:rsid w:val="00D87C1A"/>
    <w:rsid w:val="00D907D7"/>
    <w:rsid w:val="00D9083C"/>
    <w:rsid w:val="00D9242F"/>
    <w:rsid w:val="00D9260E"/>
    <w:rsid w:val="00D92D92"/>
    <w:rsid w:val="00D931F9"/>
    <w:rsid w:val="00D93853"/>
    <w:rsid w:val="00D93984"/>
    <w:rsid w:val="00D9402B"/>
    <w:rsid w:val="00D94F06"/>
    <w:rsid w:val="00D95551"/>
    <w:rsid w:val="00D956D1"/>
    <w:rsid w:val="00D95EE0"/>
    <w:rsid w:val="00D961EF"/>
    <w:rsid w:val="00D97F4F"/>
    <w:rsid w:val="00DA1967"/>
    <w:rsid w:val="00DA2155"/>
    <w:rsid w:val="00DA270B"/>
    <w:rsid w:val="00DA3E50"/>
    <w:rsid w:val="00DA3E61"/>
    <w:rsid w:val="00DA431D"/>
    <w:rsid w:val="00DA4339"/>
    <w:rsid w:val="00DA4636"/>
    <w:rsid w:val="00DA51E7"/>
    <w:rsid w:val="00DA5D1D"/>
    <w:rsid w:val="00DA5F88"/>
    <w:rsid w:val="00DA6711"/>
    <w:rsid w:val="00DA6FFC"/>
    <w:rsid w:val="00DA738A"/>
    <w:rsid w:val="00DB02E6"/>
    <w:rsid w:val="00DB133A"/>
    <w:rsid w:val="00DB2342"/>
    <w:rsid w:val="00DB263A"/>
    <w:rsid w:val="00DB2BFF"/>
    <w:rsid w:val="00DB3C7F"/>
    <w:rsid w:val="00DB4A23"/>
    <w:rsid w:val="00DB4C39"/>
    <w:rsid w:val="00DB4CBD"/>
    <w:rsid w:val="00DB4EBD"/>
    <w:rsid w:val="00DB58F6"/>
    <w:rsid w:val="00DB592E"/>
    <w:rsid w:val="00DB5E4F"/>
    <w:rsid w:val="00DB5E51"/>
    <w:rsid w:val="00DB6DF6"/>
    <w:rsid w:val="00DB718E"/>
    <w:rsid w:val="00DB74EE"/>
    <w:rsid w:val="00DB756B"/>
    <w:rsid w:val="00DB7615"/>
    <w:rsid w:val="00DC0CBB"/>
    <w:rsid w:val="00DC256A"/>
    <w:rsid w:val="00DC2952"/>
    <w:rsid w:val="00DC299E"/>
    <w:rsid w:val="00DC29A8"/>
    <w:rsid w:val="00DC4715"/>
    <w:rsid w:val="00DC520E"/>
    <w:rsid w:val="00DC525C"/>
    <w:rsid w:val="00DC5B04"/>
    <w:rsid w:val="00DC5F55"/>
    <w:rsid w:val="00DC7B03"/>
    <w:rsid w:val="00DC7C4A"/>
    <w:rsid w:val="00DC7FC9"/>
    <w:rsid w:val="00DD0660"/>
    <w:rsid w:val="00DD096E"/>
    <w:rsid w:val="00DD1727"/>
    <w:rsid w:val="00DD198F"/>
    <w:rsid w:val="00DD20EA"/>
    <w:rsid w:val="00DD2170"/>
    <w:rsid w:val="00DD2349"/>
    <w:rsid w:val="00DD3280"/>
    <w:rsid w:val="00DD4108"/>
    <w:rsid w:val="00DD4B10"/>
    <w:rsid w:val="00DD4CD3"/>
    <w:rsid w:val="00DD5096"/>
    <w:rsid w:val="00DD6398"/>
    <w:rsid w:val="00DD63A3"/>
    <w:rsid w:val="00DD6CCD"/>
    <w:rsid w:val="00DD7100"/>
    <w:rsid w:val="00DD77AE"/>
    <w:rsid w:val="00DE0B8E"/>
    <w:rsid w:val="00DE164B"/>
    <w:rsid w:val="00DE19B8"/>
    <w:rsid w:val="00DE22C0"/>
    <w:rsid w:val="00DE366E"/>
    <w:rsid w:val="00DE430B"/>
    <w:rsid w:val="00DE4AE2"/>
    <w:rsid w:val="00DE63AA"/>
    <w:rsid w:val="00DF1798"/>
    <w:rsid w:val="00DF3AA9"/>
    <w:rsid w:val="00DF3D68"/>
    <w:rsid w:val="00DF4193"/>
    <w:rsid w:val="00DF4939"/>
    <w:rsid w:val="00DF5D1D"/>
    <w:rsid w:val="00DF5F2E"/>
    <w:rsid w:val="00DF6053"/>
    <w:rsid w:val="00DF670D"/>
    <w:rsid w:val="00DF68F6"/>
    <w:rsid w:val="00DF71CA"/>
    <w:rsid w:val="00DF77BD"/>
    <w:rsid w:val="00DF7CC5"/>
    <w:rsid w:val="00DF7D52"/>
    <w:rsid w:val="00E00940"/>
    <w:rsid w:val="00E01748"/>
    <w:rsid w:val="00E02BF5"/>
    <w:rsid w:val="00E03099"/>
    <w:rsid w:val="00E039F6"/>
    <w:rsid w:val="00E04290"/>
    <w:rsid w:val="00E0430F"/>
    <w:rsid w:val="00E0435B"/>
    <w:rsid w:val="00E04926"/>
    <w:rsid w:val="00E04C60"/>
    <w:rsid w:val="00E051A1"/>
    <w:rsid w:val="00E057A1"/>
    <w:rsid w:val="00E059D0"/>
    <w:rsid w:val="00E05EF6"/>
    <w:rsid w:val="00E06174"/>
    <w:rsid w:val="00E06A51"/>
    <w:rsid w:val="00E06C89"/>
    <w:rsid w:val="00E07FD2"/>
    <w:rsid w:val="00E100F5"/>
    <w:rsid w:val="00E1025B"/>
    <w:rsid w:val="00E1043F"/>
    <w:rsid w:val="00E105C4"/>
    <w:rsid w:val="00E10614"/>
    <w:rsid w:val="00E11F4D"/>
    <w:rsid w:val="00E12C34"/>
    <w:rsid w:val="00E13748"/>
    <w:rsid w:val="00E14957"/>
    <w:rsid w:val="00E15007"/>
    <w:rsid w:val="00E1509A"/>
    <w:rsid w:val="00E15AEC"/>
    <w:rsid w:val="00E15DDA"/>
    <w:rsid w:val="00E16179"/>
    <w:rsid w:val="00E16505"/>
    <w:rsid w:val="00E168CE"/>
    <w:rsid w:val="00E16CF7"/>
    <w:rsid w:val="00E17515"/>
    <w:rsid w:val="00E1767C"/>
    <w:rsid w:val="00E2068D"/>
    <w:rsid w:val="00E21450"/>
    <w:rsid w:val="00E21470"/>
    <w:rsid w:val="00E214F6"/>
    <w:rsid w:val="00E22201"/>
    <w:rsid w:val="00E222E0"/>
    <w:rsid w:val="00E238DB"/>
    <w:rsid w:val="00E2550C"/>
    <w:rsid w:val="00E2580C"/>
    <w:rsid w:val="00E26785"/>
    <w:rsid w:val="00E268FD"/>
    <w:rsid w:val="00E26DA6"/>
    <w:rsid w:val="00E27CFD"/>
    <w:rsid w:val="00E27EE2"/>
    <w:rsid w:val="00E30944"/>
    <w:rsid w:val="00E30CE1"/>
    <w:rsid w:val="00E31267"/>
    <w:rsid w:val="00E31CD6"/>
    <w:rsid w:val="00E33D47"/>
    <w:rsid w:val="00E345F9"/>
    <w:rsid w:val="00E34B58"/>
    <w:rsid w:val="00E34E46"/>
    <w:rsid w:val="00E352F4"/>
    <w:rsid w:val="00E35CB2"/>
    <w:rsid w:val="00E35E69"/>
    <w:rsid w:val="00E35EBA"/>
    <w:rsid w:val="00E36C8F"/>
    <w:rsid w:val="00E37041"/>
    <w:rsid w:val="00E370E3"/>
    <w:rsid w:val="00E37B47"/>
    <w:rsid w:val="00E37CF9"/>
    <w:rsid w:val="00E37DF1"/>
    <w:rsid w:val="00E37F08"/>
    <w:rsid w:val="00E4041D"/>
    <w:rsid w:val="00E4132A"/>
    <w:rsid w:val="00E41ED3"/>
    <w:rsid w:val="00E42437"/>
    <w:rsid w:val="00E433D8"/>
    <w:rsid w:val="00E433FE"/>
    <w:rsid w:val="00E43618"/>
    <w:rsid w:val="00E436BD"/>
    <w:rsid w:val="00E44D18"/>
    <w:rsid w:val="00E44D42"/>
    <w:rsid w:val="00E44E0F"/>
    <w:rsid w:val="00E44F9E"/>
    <w:rsid w:val="00E452F9"/>
    <w:rsid w:val="00E45404"/>
    <w:rsid w:val="00E4562B"/>
    <w:rsid w:val="00E45991"/>
    <w:rsid w:val="00E45DCE"/>
    <w:rsid w:val="00E463A3"/>
    <w:rsid w:val="00E46B7A"/>
    <w:rsid w:val="00E47048"/>
    <w:rsid w:val="00E47325"/>
    <w:rsid w:val="00E4771F"/>
    <w:rsid w:val="00E47C9A"/>
    <w:rsid w:val="00E504DC"/>
    <w:rsid w:val="00E50780"/>
    <w:rsid w:val="00E50DA8"/>
    <w:rsid w:val="00E51919"/>
    <w:rsid w:val="00E51E80"/>
    <w:rsid w:val="00E52B6C"/>
    <w:rsid w:val="00E52EF9"/>
    <w:rsid w:val="00E53476"/>
    <w:rsid w:val="00E54536"/>
    <w:rsid w:val="00E54588"/>
    <w:rsid w:val="00E55EDC"/>
    <w:rsid w:val="00E568CC"/>
    <w:rsid w:val="00E56B22"/>
    <w:rsid w:val="00E56B33"/>
    <w:rsid w:val="00E56C38"/>
    <w:rsid w:val="00E56F0F"/>
    <w:rsid w:val="00E5738A"/>
    <w:rsid w:val="00E6013F"/>
    <w:rsid w:val="00E60162"/>
    <w:rsid w:val="00E60487"/>
    <w:rsid w:val="00E61436"/>
    <w:rsid w:val="00E617C5"/>
    <w:rsid w:val="00E62291"/>
    <w:rsid w:val="00E62D86"/>
    <w:rsid w:val="00E631E6"/>
    <w:rsid w:val="00E63887"/>
    <w:rsid w:val="00E63DBC"/>
    <w:rsid w:val="00E645E0"/>
    <w:rsid w:val="00E64BDC"/>
    <w:rsid w:val="00E650CB"/>
    <w:rsid w:val="00E66336"/>
    <w:rsid w:val="00E66377"/>
    <w:rsid w:val="00E665BD"/>
    <w:rsid w:val="00E665EA"/>
    <w:rsid w:val="00E6716F"/>
    <w:rsid w:val="00E673B3"/>
    <w:rsid w:val="00E67728"/>
    <w:rsid w:val="00E67DAC"/>
    <w:rsid w:val="00E70943"/>
    <w:rsid w:val="00E70EC2"/>
    <w:rsid w:val="00E72013"/>
    <w:rsid w:val="00E72509"/>
    <w:rsid w:val="00E72E3C"/>
    <w:rsid w:val="00E73644"/>
    <w:rsid w:val="00E736E6"/>
    <w:rsid w:val="00E73A80"/>
    <w:rsid w:val="00E73B87"/>
    <w:rsid w:val="00E74B44"/>
    <w:rsid w:val="00E75448"/>
    <w:rsid w:val="00E7594B"/>
    <w:rsid w:val="00E760F5"/>
    <w:rsid w:val="00E76222"/>
    <w:rsid w:val="00E7676F"/>
    <w:rsid w:val="00E76B24"/>
    <w:rsid w:val="00E77C7E"/>
    <w:rsid w:val="00E77F71"/>
    <w:rsid w:val="00E77FEC"/>
    <w:rsid w:val="00E8047F"/>
    <w:rsid w:val="00E80921"/>
    <w:rsid w:val="00E8105C"/>
    <w:rsid w:val="00E81D0E"/>
    <w:rsid w:val="00E82E95"/>
    <w:rsid w:val="00E835ED"/>
    <w:rsid w:val="00E84DD2"/>
    <w:rsid w:val="00E85193"/>
    <w:rsid w:val="00E85EA2"/>
    <w:rsid w:val="00E86343"/>
    <w:rsid w:val="00E86876"/>
    <w:rsid w:val="00E86B4F"/>
    <w:rsid w:val="00E8710B"/>
    <w:rsid w:val="00E87E83"/>
    <w:rsid w:val="00E90382"/>
    <w:rsid w:val="00E90637"/>
    <w:rsid w:val="00E90E51"/>
    <w:rsid w:val="00E91DB0"/>
    <w:rsid w:val="00E93235"/>
    <w:rsid w:val="00E93C86"/>
    <w:rsid w:val="00E948DB"/>
    <w:rsid w:val="00E94F51"/>
    <w:rsid w:val="00E9539F"/>
    <w:rsid w:val="00E95577"/>
    <w:rsid w:val="00E956F3"/>
    <w:rsid w:val="00E95917"/>
    <w:rsid w:val="00E96746"/>
    <w:rsid w:val="00E97528"/>
    <w:rsid w:val="00E97ED2"/>
    <w:rsid w:val="00EA2255"/>
    <w:rsid w:val="00EA25DE"/>
    <w:rsid w:val="00EA2851"/>
    <w:rsid w:val="00EA2867"/>
    <w:rsid w:val="00EA29AE"/>
    <w:rsid w:val="00EA2FD7"/>
    <w:rsid w:val="00EA2FD9"/>
    <w:rsid w:val="00EA33FE"/>
    <w:rsid w:val="00EA42B8"/>
    <w:rsid w:val="00EA4B0F"/>
    <w:rsid w:val="00EA54DC"/>
    <w:rsid w:val="00EA570A"/>
    <w:rsid w:val="00EA5D07"/>
    <w:rsid w:val="00EA61EB"/>
    <w:rsid w:val="00EA6405"/>
    <w:rsid w:val="00EA75F8"/>
    <w:rsid w:val="00EA7613"/>
    <w:rsid w:val="00EB0A64"/>
    <w:rsid w:val="00EB0BB8"/>
    <w:rsid w:val="00EB22C6"/>
    <w:rsid w:val="00EB2A5B"/>
    <w:rsid w:val="00EB2AD2"/>
    <w:rsid w:val="00EB36DD"/>
    <w:rsid w:val="00EB3F47"/>
    <w:rsid w:val="00EB5BEF"/>
    <w:rsid w:val="00EB5E1A"/>
    <w:rsid w:val="00EB615F"/>
    <w:rsid w:val="00EB64EE"/>
    <w:rsid w:val="00EB6AE4"/>
    <w:rsid w:val="00EC06AB"/>
    <w:rsid w:val="00EC099B"/>
    <w:rsid w:val="00EC0B54"/>
    <w:rsid w:val="00EC16BC"/>
    <w:rsid w:val="00EC20DF"/>
    <w:rsid w:val="00EC2D5A"/>
    <w:rsid w:val="00EC3349"/>
    <w:rsid w:val="00EC3A3A"/>
    <w:rsid w:val="00EC53C0"/>
    <w:rsid w:val="00EC5968"/>
    <w:rsid w:val="00EC6432"/>
    <w:rsid w:val="00EC67DE"/>
    <w:rsid w:val="00EC6BD1"/>
    <w:rsid w:val="00EC6CC5"/>
    <w:rsid w:val="00EC6D29"/>
    <w:rsid w:val="00EC768E"/>
    <w:rsid w:val="00EC7869"/>
    <w:rsid w:val="00EC79C5"/>
    <w:rsid w:val="00EC7DEA"/>
    <w:rsid w:val="00ED001E"/>
    <w:rsid w:val="00ED04A7"/>
    <w:rsid w:val="00ED05C2"/>
    <w:rsid w:val="00ED0A6F"/>
    <w:rsid w:val="00ED0EA3"/>
    <w:rsid w:val="00ED14B4"/>
    <w:rsid w:val="00ED26F0"/>
    <w:rsid w:val="00ED2F30"/>
    <w:rsid w:val="00ED3268"/>
    <w:rsid w:val="00ED3649"/>
    <w:rsid w:val="00ED388E"/>
    <w:rsid w:val="00ED4C06"/>
    <w:rsid w:val="00ED4D2C"/>
    <w:rsid w:val="00ED5218"/>
    <w:rsid w:val="00ED53F2"/>
    <w:rsid w:val="00ED588B"/>
    <w:rsid w:val="00ED5921"/>
    <w:rsid w:val="00ED5F20"/>
    <w:rsid w:val="00ED6EC2"/>
    <w:rsid w:val="00ED6F1E"/>
    <w:rsid w:val="00EE01EC"/>
    <w:rsid w:val="00EE0471"/>
    <w:rsid w:val="00EE0AA2"/>
    <w:rsid w:val="00EE0DB3"/>
    <w:rsid w:val="00EE0FE5"/>
    <w:rsid w:val="00EE127B"/>
    <w:rsid w:val="00EE161E"/>
    <w:rsid w:val="00EE1BA2"/>
    <w:rsid w:val="00EE2870"/>
    <w:rsid w:val="00EE313F"/>
    <w:rsid w:val="00EE3288"/>
    <w:rsid w:val="00EE3680"/>
    <w:rsid w:val="00EE36A7"/>
    <w:rsid w:val="00EE3E1E"/>
    <w:rsid w:val="00EE436B"/>
    <w:rsid w:val="00EE47AF"/>
    <w:rsid w:val="00EE4E3B"/>
    <w:rsid w:val="00EE55CA"/>
    <w:rsid w:val="00EE58B0"/>
    <w:rsid w:val="00EE59DF"/>
    <w:rsid w:val="00EE5A95"/>
    <w:rsid w:val="00EE5AED"/>
    <w:rsid w:val="00EE5EB7"/>
    <w:rsid w:val="00EE5F51"/>
    <w:rsid w:val="00EE65B3"/>
    <w:rsid w:val="00EF0398"/>
    <w:rsid w:val="00EF1351"/>
    <w:rsid w:val="00EF175F"/>
    <w:rsid w:val="00EF1848"/>
    <w:rsid w:val="00EF199A"/>
    <w:rsid w:val="00EF1D6A"/>
    <w:rsid w:val="00EF1FE3"/>
    <w:rsid w:val="00EF282C"/>
    <w:rsid w:val="00EF29B4"/>
    <w:rsid w:val="00EF35A0"/>
    <w:rsid w:val="00EF3A71"/>
    <w:rsid w:val="00EF3AFE"/>
    <w:rsid w:val="00EF3E0D"/>
    <w:rsid w:val="00EF41D8"/>
    <w:rsid w:val="00EF4616"/>
    <w:rsid w:val="00EF53B9"/>
    <w:rsid w:val="00EF592B"/>
    <w:rsid w:val="00EF61F1"/>
    <w:rsid w:val="00EF67F4"/>
    <w:rsid w:val="00EF6DAC"/>
    <w:rsid w:val="00EF6FDF"/>
    <w:rsid w:val="00EF768F"/>
    <w:rsid w:val="00EF7741"/>
    <w:rsid w:val="00F0027C"/>
    <w:rsid w:val="00F01065"/>
    <w:rsid w:val="00F01691"/>
    <w:rsid w:val="00F02FA3"/>
    <w:rsid w:val="00F03941"/>
    <w:rsid w:val="00F044F1"/>
    <w:rsid w:val="00F04A8A"/>
    <w:rsid w:val="00F05035"/>
    <w:rsid w:val="00F05092"/>
    <w:rsid w:val="00F0520E"/>
    <w:rsid w:val="00F054F2"/>
    <w:rsid w:val="00F06246"/>
    <w:rsid w:val="00F07311"/>
    <w:rsid w:val="00F073CE"/>
    <w:rsid w:val="00F074E9"/>
    <w:rsid w:val="00F078BC"/>
    <w:rsid w:val="00F07DE8"/>
    <w:rsid w:val="00F1013D"/>
    <w:rsid w:val="00F116D4"/>
    <w:rsid w:val="00F11855"/>
    <w:rsid w:val="00F11F43"/>
    <w:rsid w:val="00F12B1F"/>
    <w:rsid w:val="00F14904"/>
    <w:rsid w:val="00F14DEF"/>
    <w:rsid w:val="00F14F2A"/>
    <w:rsid w:val="00F15030"/>
    <w:rsid w:val="00F15342"/>
    <w:rsid w:val="00F15FD6"/>
    <w:rsid w:val="00F15FE5"/>
    <w:rsid w:val="00F16C95"/>
    <w:rsid w:val="00F17516"/>
    <w:rsid w:val="00F17617"/>
    <w:rsid w:val="00F17AFF"/>
    <w:rsid w:val="00F17B27"/>
    <w:rsid w:val="00F20600"/>
    <w:rsid w:val="00F2069D"/>
    <w:rsid w:val="00F20918"/>
    <w:rsid w:val="00F209DB"/>
    <w:rsid w:val="00F210E1"/>
    <w:rsid w:val="00F219E1"/>
    <w:rsid w:val="00F21D9F"/>
    <w:rsid w:val="00F222C5"/>
    <w:rsid w:val="00F22901"/>
    <w:rsid w:val="00F22AC6"/>
    <w:rsid w:val="00F22C81"/>
    <w:rsid w:val="00F2402A"/>
    <w:rsid w:val="00F24889"/>
    <w:rsid w:val="00F24F21"/>
    <w:rsid w:val="00F25634"/>
    <w:rsid w:val="00F25889"/>
    <w:rsid w:val="00F259C9"/>
    <w:rsid w:val="00F25ADC"/>
    <w:rsid w:val="00F27993"/>
    <w:rsid w:val="00F30603"/>
    <w:rsid w:val="00F31351"/>
    <w:rsid w:val="00F31CDF"/>
    <w:rsid w:val="00F31D73"/>
    <w:rsid w:val="00F31DF8"/>
    <w:rsid w:val="00F32268"/>
    <w:rsid w:val="00F326A7"/>
    <w:rsid w:val="00F3292A"/>
    <w:rsid w:val="00F33695"/>
    <w:rsid w:val="00F33B6B"/>
    <w:rsid w:val="00F3411D"/>
    <w:rsid w:val="00F34709"/>
    <w:rsid w:val="00F34A26"/>
    <w:rsid w:val="00F3523A"/>
    <w:rsid w:val="00F35B82"/>
    <w:rsid w:val="00F35F2C"/>
    <w:rsid w:val="00F366D2"/>
    <w:rsid w:val="00F36866"/>
    <w:rsid w:val="00F36BF0"/>
    <w:rsid w:val="00F36DF6"/>
    <w:rsid w:val="00F3742C"/>
    <w:rsid w:val="00F37A90"/>
    <w:rsid w:val="00F41671"/>
    <w:rsid w:val="00F423E9"/>
    <w:rsid w:val="00F42441"/>
    <w:rsid w:val="00F428DA"/>
    <w:rsid w:val="00F42A73"/>
    <w:rsid w:val="00F42BA9"/>
    <w:rsid w:val="00F4303C"/>
    <w:rsid w:val="00F433C3"/>
    <w:rsid w:val="00F4358E"/>
    <w:rsid w:val="00F44D3F"/>
    <w:rsid w:val="00F45E30"/>
    <w:rsid w:val="00F4638B"/>
    <w:rsid w:val="00F50614"/>
    <w:rsid w:val="00F508BD"/>
    <w:rsid w:val="00F511D9"/>
    <w:rsid w:val="00F51291"/>
    <w:rsid w:val="00F51CAE"/>
    <w:rsid w:val="00F52202"/>
    <w:rsid w:val="00F53737"/>
    <w:rsid w:val="00F53BA6"/>
    <w:rsid w:val="00F53C95"/>
    <w:rsid w:val="00F5462A"/>
    <w:rsid w:val="00F54706"/>
    <w:rsid w:val="00F548D3"/>
    <w:rsid w:val="00F54EB8"/>
    <w:rsid w:val="00F55860"/>
    <w:rsid w:val="00F5596C"/>
    <w:rsid w:val="00F55B81"/>
    <w:rsid w:val="00F561E1"/>
    <w:rsid w:val="00F56C93"/>
    <w:rsid w:val="00F57632"/>
    <w:rsid w:val="00F57868"/>
    <w:rsid w:val="00F6073B"/>
    <w:rsid w:val="00F60B7F"/>
    <w:rsid w:val="00F6107F"/>
    <w:rsid w:val="00F63089"/>
    <w:rsid w:val="00F65302"/>
    <w:rsid w:val="00F658A4"/>
    <w:rsid w:val="00F659FA"/>
    <w:rsid w:val="00F65BA8"/>
    <w:rsid w:val="00F65FD3"/>
    <w:rsid w:val="00F662B2"/>
    <w:rsid w:val="00F66AEB"/>
    <w:rsid w:val="00F66C62"/>
    <w:rsid w:val="00F66EB4"/>
    <w:rsid w:val="00F67608"/>
    <w:rsid w:val="00F67B29"/>
    <w:rsid w:val="00F70276"/>
    <w:rsid w:val="00F7131F"/>
    <w:rsid w:val="00F71AF3"/>
    <w:rsid w:val="00F72B9E"/>
    <w:rsid w:val="00F740FA"/>
    <w:rsid w:val="00F741E4"/>
    <w:rsid w:val="00F75085"/>
    <w:rsid w:val="00F75E3A"/>
    <w:rsid w:val="00F767E8"/>
    <w:rsid w:val="00F76FA9"/>
    <w:rsid w:val="00F77863"/>
    <w:rsid w:val="00F77D20"/>
    <w:rsid w:val="00F77E2E"/>
    <w:rsid w:val="00F8029F"/>
    <w:rsid w:val="00F806A2"/>
    <w:rsid w:val="00F81098"/>
    <w:rsid w:val="00F8159B"/>
    <w:rsid w:val="00F81863"/>
    <w:rsid w:val="00F81B5E"/>
    <w:rsid w:val="00F81DC0"/>
    <w:rsid w:val="00F823BB"/>
    <w:rsid w:val="00F82ABB"/>
    <w:rsid w:val="00F82CB3"/>
    <w:rsid w:val="00F84076"/>
    <w:rsid w:val="00F8465F"/>
    <w:rsid w:val="00F84F96"/>
    <w:rsid w:val="00F8537F"/>
    <w:rsid w:val="00F85405"/>
    <w:rsid w:val="00F8591B"/>
    <w:rsid w:val="00F86E76"/>
    <w:rsid w:val="00F873E7"/>
    <w:rsid w:val="00F901AF"/>
    <w:rsid w:val="00F904BC"/>
    <w:rsid w:val="00F90927"/>
    <w:rsid w:val="00F910ED"/>
    <w:rsid w:val="00F9186C"/>
    <w:rsid w:val="00F91E8B"/>
    <w:rsid w:val="00F920D3"/>
    <w:rsid w:val="00F9232D"/>
    <w:rsid w:val="00F92F63"/>
    <w:rsid w:val="00F93AF5"/>
    <w:rsid w:val="00F94131"/>
    <w:rsid w:val="00F94219"/>
    <w:rsid w:val="00F94566"/>
    <w:rsid w:val="00F94EB0"/>
    <w:rsid w:val="00F951F4"/>
    <w:rsid w:val="00F95260"/>
    <w:rsid w:val="00F95712"/>
    <w:rsid w:val="00F95AAE"/>
    <w:rsid w:val="00F96782"/>
    <w:rsid w:val="00F9686D"/>
    <w:rsid w:val="00F96930"/>
    <w:rsid w:val="00F97970"/>
    <w:rsid w:val="00F97AA7"/>
    <w:rsid w:val="00FA0F82"/>
    <w:rsid w:val="00FA1053"/>
    <w:rsid w:val="00FA130D"/>
    <w:rsid w:val="00FA1CF7"/>
    <w:rsid w:val="00FA351E"/>
    <w:rsid w:val="00FA3993"/>
    <w:rsid w:val="00FA3A72"/>
    <w:rsid w:val="00FA3D93"/>
    <w:rsid w:val="00FA42AB"/>
    <w:rsid w:val="00FA4361"/>
    <w:rsid w:val="00FA467A"/>
    <w:rsid w:val="00FA4693"/>
    <w:rsid w:val="00FA4850"/>
    <w:rsid w:val="00FA59FB"/>
    <w:rsid w:val="00FA5A18"/>
    <w:rsid w:val="00FA7537"/>
    <w:rsid w:val="00FB0600"/>
    <w:rsid w:val="00FB16C0"/>
    <w:rsid w:val="00FB2596"/>
    <w:rsid w:val="00FB3283"/>
    <w:rsid w:val="00FB365E"/>
    <w:rsid w:val="00FB36BE"/>
    <w:rsid w:val="00FB3E9E"/>
    <w:rsid w:val="00FB4B64"/>
    <w:rsid w:val="00FB4F24"/>
    <w:rsid w:val="00FB5361"/>
    <w:rsid w:val="00FB5F9D"/>
    <w:rsid w:val="00FB6209"/>
    <w:rsid w:val="00FB6362"/>
    <w:rsid w:val="00FB7234"/>
    <w:rsid w:val="00FB7A6E"/>
    <w:rsid w:val="00FB7B8C"/>
    <w:rsid w:val="00FC0D30"/>
    <w:rsid w:val="00FC185A"/>
    <w:rsid w:val="00FC4597"/>
    <w:rsid w:val="00FC4770"/>
    <w:rsid w:val="00FC4B72"/>
    <w:rsid w:val="00FC500C"/>
    <w:rsid w:val="00FC5104"/>
    <w:rsid w:val="00FC556B"/>
    <w:rsid w:val="00FC5A5B"/>
    <w:rsid w:val="00FC6C57"/>
    <w:rsid w:val="00FC6D60"/>
    <w:rsid w:val="00FC7085"/>
    <w:rsid w:val="00FC7906"/>
    <w:rsid w:val="00FD097B"/>
    <w:rsid w:val="00FD1D80"/>
    <w:rsid w:val="00FD257D"/>
    <w:rsid w:val="00FD2ADA"/>
    <w:rsid w:val="00FD2E25"/>
    <w:rsid w:val="00FD32E5"/>
    <w:rsid w:val="00FD3713"/>
    <w:rsid w:val="00FD3828"/>
    <w:rsid w:val="00FD45A5"/>
    <w:rsid w:val="00FD48C2"/>
    <w:rsid w:val="00FD5079"/>
    <w:rsid w:val="00FD5AB7"/>
    <w:rsid w:val="00FD5FA2"/>
    <w:rsid w:val="00FD665B"/>
    <w:rsid w:val="00FD6E70"/>
    <w:rsid w:val="00FD7D9A"/>
    <w:rsid w:val="00FD7F40"/>
    <w:rsid w:val="00FE0B74"/>
    <w:rsid w:val="00FE14BA"/>
    <w:rsid w:val="00FE1720"/>
    <w:rsid w:val="00FE1A50"/>
    <w:rsid w:val="00FE1E64"/>
    <w:rsid w:val="00FE24DC"/>
    <w:rsid w:val="00FE3862"/>
    <w:rsid w:val="00FE3D51"/>
    <w:rsid w:val="00FE55C8"/>
    <w:rsid w:val="00FE5BA1"/>
    <w:rsid w:val="00FE7295"/>
    <w:rsid w:val="00FE754C"/>
    <w:rsid w:val="00FE7B55"/>
    <w:rsid w:val="00FE7E97"/>
    <w:rsid w:val="00FF03E8"/>
    <w:rsid w:val="00FF048D"/>
    <w:rsid w:val="00FF08B9"/>
    <w:rsid w:val="00FF0BE7"/>
    <w:rsid w:val="00FF15AB"/>
    <w:rsid w:val="00FF1C81"/>
    <w:rsid w:val="00FF1CF3"/>
    <w:rsid w:val="00FF1ED3"/>
    <w:rsid w:val="00FF24B4"/>
    <w:rsid w:val="00FF30A0"/>
    <w:rsid w:val="00FF3603"/>
    <w:rsid w:val="00FF3E10"/>
    <w:rsid w:val="00FF402E"/>
    <w:rsid w:val="00FF4133"/>
    <w:rsid w:val="00FF4B33"/>
    <w:rsid w:val="00FF51FD"/>
    <w:rsid w:val="00FF5281"/>
    <w:rsid w:val="00FF5303"/>
    <w:rsid w:val="00FF66C0"/>
    <w:rsid w:val="00FF70F3"/>
    <w:rsid w:val="00FF740F"/>
    <w:rsid w:val="00FF7416"/>
    <w:rsid w:val="00FF74CF"/>
    <w:rsid w:val="15BA02AE"/>
    <w:rsid w:val="188F46E4"/>
    <w:rsid w:val="1D0D238E"/>
    <w:rsid w:val="212A8BD7"/>
    <w:rsid w:val="21521C73"/>
    <w:rsid w:val="3BD44F70"/>
    <w:rsid w:val="3F0D0509"/>
    <w:rsid w:val="3F7727F5"/>
    <w:rsid w:val="46AD949B"/>
    <w:rsid w:val="4CEDA2DB"/>
    <w:rsid w:val="51E5D631"/>
    <w:rsid w:val="543A533F"/>
    <w:rsid w:val="5FB188D5"/>
    <w:rsid w:val="617A252C"/>
    <w:rsid w:val="636BAEAA"/>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0AF56"/>
  <w15:chartTrackingRefBased/>
  <w15:docId w15:val="{3FCE10C6-E124-4445-98A2-3EF3E07C5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9B2"/>
    <w:pPr>
      <w:spacing w:before="240" w:after="240" w:line="480" w:lineRule="auto"/>
      <w:ind w:firstLine="720"/>
      <w:textAlignment w:val="baseline"/>
    </w:pPr>
    <w:rPr>
      <w:rFonts w:ascii="Verdana" w:eastAsiaTheme="majorEastAsia" w:hAnsi="Verdana" w:cs="Arial"/>
      <w:sz w:val="24"/>
      <w:szCs w:val="24"/>
      <w:lang w:eastAsia="en-CA"/>
    </w:rPr>
  </w:style>
  <w:style w:type="paragraph" w:styleId="Heading1">
    <w:name w:val="heading 1"/>
    <w:basedOn w:val="Normal"/>
    <w:link w:val="Heading1Char"/>
    <w:autoRedefine/>
    <w:uiPriority w:val="9"/>
    <w:qFormat/>
    <w:rsid w:val="007F2C7F"/>
    <w:pPr>
      <w:ind w:firstLine="0"/>
      <w:outlineLvl w:val="0"/>
    </w:pPr>
    <w:rPr>
      <w:b/>
      <w:bCs/>
      <w:sz w:val="40"/>
      <w:szCs w:val="40"/>
    </w:rPr>
  </w:style>
  <w:style w:type="paragraph" w:styleId="Heading2">
    <w:name w:val="heading 2"/>
    <w:basedOn w:val="Normal"/>
    <w:link w:val="Heading2Char"/>
    <w:autoRedefine/>
    <w:uiPriority w:val="9"/>
    <w:unhideWhenUsed/>
    <w:qFormat/>
    <w:rsid w:val="0079337B"/>
    <w:pPr>
      <w:keepNext/>
      <w:keepLines/>
      <w:spacing w:before="160" w:after="80"/>
      <w:ind w:firstLine="0"/>
      <w:outlineLvl w:val="1"/>
    </w:pPr>
    <w:rPr>
      <w:rFonts w:cstheme="majorBidi"/>
      <w:b/>
      <w:bCs/>
      <w:sz w:val="36"/>
      <w:szCs w:val="36"/>
    </w:rPr>
  </w:style>
  <w:style w:type="paragraph" w:styleId="Heading3">
    <w:name w:val="heading 3"/>
    <w:basedOn w:val="Normal"/>
    <w:next w:val="Normal"/>
    <w:link w:val="Heading3Char"/>
    <w:autoRedefine/>
    <w:uiPriority w:val="9"/>
    <w:unhideWhenUsed/>
    <w:qFormat/>
    <w:rsid w:val="0063425F"/>
    <w:pPr>
      <w:keepNext/>
      <w:keepLines/>
      <w:spacing w:after="120"/>
      <w:ind w:firstLine="0"/>
      <w:outlineLvl w:val="2"/>
    </w:pPr>
    <w:rPr>
      <w:rFonts w:cstheme="majorBidi"/>
      <w:b/>
      <w:sz w:val="32"/>
      <w:szCs w:val="32"/>
    </w:rPr>
  </w:style>
  <w:style w:type="paragraph" w:styleId="Heading4">
    <w:name w:val="heading 4"/>
    <w:basedOn w:val="Heading3"/>
    <w:next w:val="Normal"/>
    <w:link w:val="Heading4Char"/>
    <w:uiPriority w:val="9"/>
    <w:unhideWhenUsed/>
    <w:qFormat/>
    <w:rsid w:val="003D563E"/>
    <w:pPr>
      <w:outlineLvl w:val="3"/>
    </w:pPr>
    <w:rPr>
      <w:i/>
      <w:iCs/>
      <w:sz w:val="28"/>
      <w:szCs w:val="28"/>
    </w:rPr>
  </w:style>
  <w:style w:type="paragraph" w:styleId="Heading5">
    <w:name w:val="heading 5"/>
    <w:basedOn w:val="Normal"/>
    <w:next w:val="Normal"/>
    <w:link w:val="Heading5Char"/>
    <w:uiPriority w:val="9"/>
    <w:unhideWhenUsed/>
    <w:qFormat/>
    <w:rsid w:val="00FA4693"/>
    <w:pPr>
      <w:keepNext/>
      <w:keepLines/>
      <w:spacing w:before="80" w:after="40"/>
      <w:outlineLvl w:val="4"/>
    </w:pPr>
    <w:rPr>
      <w:rFonts w:cstheme="majorBidi"/>
      <w:b/>
    </w:rPr>
  </w:style>
  <w:style w:type="paragraph" w:styleId="Heading6">
    <w:name w:val="heading 6"/>
    <w:basedOn w:val="Normal"/>
    <w:next w:val="Normal"/>
    <w:link w:val="Heading6Char"/>
    <w:uiPriority w:val="9"/>
    <w:unhideWhenUsed/>
    <w:qFormat/>
    <w:rsid w:val="00151C6D"/>
    <w:pPr>
      <w:keepNext/>
      <w:keepLines/>
      <w:spacing w:before="40"/>
      <w:outlineLvl w:val="5"/>
    </w:pPr>
    <w:rPr>
      <w:rFonts w:cstheme="majorBidi"/>
      <w:i/>
      <w:iCs/>
      <w:color w:val="595959" w:themeColor="text1" w:themeTint="A6"/>
    </w:rPr>
  </w:style>
  <w:style w:type="paragraph" w:styleId="Heading7">
    <w:name w:val="heading 7"/>
    <w:basedOn w:val="Normal"/>
    <w:next w:val="Normal"/>
    <w:link w:val="Heading7Char"/>
    <w:uiPriority w:val="9"/>
    <w:unhideWhenUsed/>
    <w:qFormat/>
    <w:rsid w:val="00151C6D"/>
    <w:pPr>
      <w:keepNext/>
      <w:keepLines/>
      <w:spacing w:before="40"/>
      <w:outlineLvl w:val="6"/>
    </w:pPr>
    <w:rPr>
      <w:rFonts w:cstheme="majorBidi"/>
      <w:color w:val="595959" w:themeColor="text1" w:themeTint="A6"/>
    </w:rPr>
  </w:style>
  <w:style w:type="paragraph" w:styleId="Heading8">
    <w:name w:val="heading 8"/>
    <w:basedOn w:val="Normal"/>
    <w:next w:val="Normal"/>
    <w:link w:val="Heading8Char"/>
    <w:uiPriority w:val="9"/>
    <w:unhideWhenUsed/>
    <w:qFormat/>
    <w:rsid w:val="00151C6D"/>
    <w:pPr>
      <w:keepNext/>
      <w:keepLines/>
      <w:outlineLvl w:val="7"/>
    </w:pPr>
    <w:rPr>
      <w:rFonts w:cstheme="majorBidi"/>
      <w:i/>
      <w:iCs/>
      <w:color w:val="272727" w:themeColor="text1" w:themeTint="D8"/>
    </w:rPr>
  </w:style>
  <w:style w:type="paragraph" w:styleId="Heading9">
    <w:name w:val="heading 9"/>
    <w:basedOn w:val="Normal"/>
    <w:next w:val="Normal"/>
    <w:link w:val="Heading9Char"/>
    <w:uiPriority w:val="9"/>
    <w:semiHidden/>
    <w:unhideWhenUsed/>
    <w:qFormat/>
    <w:rsid w:val="00151C6D"/>
    <w:pPr>
      <w:keepNext/>
      <w:keepLines/>
      <w:outlineLvl w:val="8"/>
    </w:pPr>
    <w:rPr>
      <w:rFont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C7F"/>
    <w:rPr>
      <w:rFonts w:ascii="Verdana" w:eastAsiaTheme="majorEastAsia" w:hAnsi="Verdana" w:cs="Arial"/>
      <w:b/>
      <w:bCs/>
      <w:sz w:val="40"/>
      <w:szCs w:val="40"/>
      <w:lang w:eastAsia="en-CA"/>
    </w:rPr>
  </w:style>
  <w:style w:type="character" w:customStyle="1" w:styleId="Heading2Char">
    <w:name w:val="Heading 2 Char"/>
    <w:basedOn w:val="DefaultParagraphFont"/>
    <w:link w:val="Heading2"/>
    <w:uiPriority w:val="9"/>
    <w:rsid w:val="0079337B"/>
    <w:rPr>
      <w:rFonts w:ascii="Verdana" w:eastAsiaTheme="majorEastAsia" w:hAnsi="Verdana" w:cstheme="majorBidi"/>
      <w:b/>
      <w:bCs/>
      <w:sz w:val="36"/>
      <w:szCs w:val="36"/>
      <w:lang w:eastAsia="en-CA"/>
    </w:rPr>
  </w:style>
  <w:style w:type="character" w:customStyle="1" w:styleId="Heading3Char">
    <w:name w:val="Heading 3 Char"/>
    <w:basedOn w:val="DefaultParagraphFont"/>
    <w:link w:val="Heading3"/>
    <w:uiPriority w:val="9"/>
    <w:rsid w:val="0063425F"/>
    <w:rPr>
      <w:rFonts w:ascii="Verdana" w:eastAsiaTheme="majorEastAsia" w:hAnsi="Verdana" w:cstheme="majorBidi"/>
      <w:b/>
      <w:sz w:val="32"/>
      <w:szCs w:val="32"/>
      <w:lang w:eastAsia="en-CA"/>
    </w:rPr>
  </w:style>
  <w:style w:type="character" w:customStyle="1" w:styleId="Heading4Char">
    <w:name w:val="Heading 4 Char"/>
    <w:basedOn w:val="DefaultParagraphFont"/>
    <w:link w:val="Heading4"/>
    <w:uiPriority w:val="9"/>
    <w:rsid w:val="003D563E"/>
    <w:rPr>
      <w:rFonts w:ascii="Verdana" w:eastAsiaTheme="majorEastAsia" w:hAnsi="Verdana" w:cstheme="majorBidi"/>
      <w:b/>
      <w:i/>
      <w:iCs/>
      <w:sz w:val="28"/>
      <w:szCs w:val="28"/>
      <w:lang w:eastAsia="en-CA"/>
    </w:rPr>
  </w:style>
  <w:style w:type="character" w:customStyle="1" w:styleId="Heading5Char">
    <w:name w:val="Heading 5 Char"/>
    <w:basedOn w:val="DefaultParagraphFont"/>
    <w:link w:val="Heading5"/>
    <w:uiPriority w:val="9"/>
    <w:rsid w:val="00FA4693"/>
    <w:rPr>
      <w:rFonts w:ascii="Verdana" w:eastAsiaTheme="majorEastAsia" w:hAnsi="Verdana" w:cstheme="majorBidi"/>
      <w:b/>
      <w:szCs w:val="28"/>
      <w:lang w:eastAsia="en-CA"/>
    </w:rPr>
  </w:style>
  <w:style w:type="character" w:customStyle="1" w:styleId="Heading6Char">
    <w:name w:val="Heading 6 Char"/>
    <w:basedOn w:val="DefaultParagraphFont"/>
    <w:link w:val="Heading6"/>
    <w:uiPriority w:val="9"/>
    <w:rsid w:val="00151C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151C6D"/>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151C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1C6D"/>
    <w:rPr>
      <w:rFonts w:eastAsiaTheme="majorEastAsia" w:cstheme="majorBidi"/>
      <w:color w:val="272727" w:themeColor="text1" w:themeTint="D8"/>
    </w:rPr>
  </w:style>
  <w:style w:type="paragraph" w:styleId="Title">
    <w:name w:val="Title"/>
    <w:basedOn w:val="Normal"/>
    <w:next w:val="Normal"/>
    <w:link w:val="TitleChar"/>
    <w:uiPriority w:val="10"/>
    <w:qFormat/>
    <w:rsid w:val="00151C6D"/>
    <w:pPr>
      <w:spacing w:after="80" w:line="240" w:lineRule="auto"/>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151C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1C6D"/>
    <w:pPr>
      <w:numPr>
        <w:ilvl w:val="1"/>
      </w:numPr>
      <w:ind w:firstLine="720"/>
    </w:pPr>
    <w:rPr>
      <w:rFonts w:cstheme="majorBidi"/>
      <w:color w:val="595959" w:themeColor="text1" w:themeTint="A6"/>
      <w:spacing w:val="15"/>
      <w:sz w:val="28"/>
    </w:rPr>
  </w:style>
  <w:style w:type="character" w:customStyle="1" w:styleId="SubtitleChar">
    <w:name w:val="Subtitle Char"/>
    <w:basedOn w:val="DefaultParagraphFont"/>
    <w:link w:val="Subtitle"/>
    <w:uiPriority w:val="11"/>
    <w:rsid w:val="00151C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1C6D"/>
    <w:pPr>
      <w:spacing w:before="160"/>
      <w:jc w:val="center"/>
    </w:pPr>
    <w:rPr>
      <w:i/>
      <w:iCs/>
      <w:color w:val="404040" w:themeColor="text1" w:themeTint="BF"/>
    </w:rPr>
  </w:style>
  <w:style w:type="character" w:customStyle="1" w:styleId="QuoteChar">
    <w:name w:val="Quote Char"/>
    <w:basedOn w:val="DefaultParagraphFont"/>
    <w:link w:val="Quote"/>
    <w:uiPriority w:val="29"/>
    <w:rsid w:val="00151C6D"/>
    <w:rPr>
      <w:i/>
      <w:iCs/>
      <w:color w:val="404040" w:themeColor="text1" w:themeTint="BF"/>
    </w:rPr>
  </w:style>
  <w:style w:type="paragraph" w:styleId="ListParagraph">
    <w:name w:val="List Paragraph"/>
    <w:basedOn w:val="Normal"/>
    <w:qFormat/>
    <w:rsid w:val="00151C6D"/>
    <w:pPr>
      <w:ind w:left="720"/>
      <w:contextualSpacing/>
    </w:pPr>
  </w:style>
  <w:style w:type="character" w:styleId="IntenseEmphasis">
    <w:name w:val="Intense Emphasis"/>
    <w:basedOn w:val="DefaultParagraphFont"/>
    <w:uiPriority w:val="21"/>
    <w:qFormat/>
    <w:rsid w:val="00151C6D"/>
    <w:rPr>
      <w:i/>
      <w:iCs/>
      <w:color w:val="0F4761" w:themeColor="accent1" w:themeShade="BF"/>
    </w:rPr>
  </w:style>
  <w:style w:type="paragraph" w:styleId="IntenseQuote">
    <w:name w:val="Intense Quote"/>
    <w:basedOn w:val="Normal"/>
    <w:next w:val="Normal"/>
    <w:link w:val="IntenseQuoteChar"/>
    <w:uiPriority w:val="30"/>
    <w:qFormat/>
    <w:rsid w:val="00151C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1C6D"/>
    <w:rPr>
      <w:i/>
      <w:iCs/>
      <w:color w:val="0F4761" w:themeColor="accent1" w:themeShade="BF"/>
    </w:rPr>
  </w:style>
  <w:style w:type="character" w:styleId="IntenseReference">
    <w:name w:val="Intense Reference"/>
    <w:basedOn w:val="DefaultParagraphFont"/>
    <w:uiPriority w:val="32"/>
    <w:qFormat/>
    <w:rsid w:val="00151C6D"/>
    <w:rPr>
      <w:b/>
      <w:bCs/>
      <w:smallCaps/>
      <w:color w:val="0F4761" w:themeColor="accent1" w:themeShade="BF"/>
      <w:spacing w:val="5"/>
    </w:rPr>
  </w:style>
  <w:style w:type="paragraph" w:styleId="Header">
    <w:name w:val="header"/>
    <w:basedOn w:val="Normal"/>
    <w:link w:val="HeaderChar"/>
    <w:uiPriority w:val="99"/>
    <w:unhideWhenUsed/>
    <w:rsid w:val="00151C6D"/>
    <w:pPr>
      <w:tabs>
        <w:tab w:val="center" w:pos="4680"/>
        <w:tab w:val="right" w:pos="9360"/>
      </w:tabs>
      <w:spacing w:line="240" w:lineRule="auto"/>
    </w:pPr>
    <w:rPr>
      <w:rFonts w:ascii="Arial" w:hAnsi="Arial"/>
      <w:kern w:val="0"/>
      <w:sz w:val="28"/>
      <w14:ligatures w14:val="none"/>
    </w:rPr>
  </w:style>
  <w:style w:type="character" w:customStyle="1" w:styleId="HeaderChar">
    <w:name w:val="Header Char"/>
    <w:basedOn w:val="DefaultParagraphFont"/>
    <w:link w:val="Header"/>
    <w:uiPriority w:val="99"/>
    <w:rsid w:val="00151C6D"/>
    <w:rPr>
      <w:rFonts w:ascii="Arial" w:hAnsi="Arial"/>
      <w:kern w:val="0"/>
      <w:sz w:val="28"/>
      <w:lang w:val="fr-CA"/>
      <w14:ligatures w14:val="none"/>
    </w:rPr>
  </w:style>
  <w:style w:type="paragraph" w:styleId="Footer">
    <w:name w:val="footer"/>
    <w:basedOn w:val="Normal"/>
    <w:link w:val="FooterChar"/>
    <w:uiPriority w:val="99"/>
    <w:unhideWhenUsed/>
    <w:rsid w:val="00151C6D"/>
    <w:pPr>
      <w:tabs>
        <w:tab w:val="center" w:pos="4680"/>
        <w:tab w:val="right" w:pos="9360"/>
      </w:tabs>
      <w:spacing w:line="240" w:lineRule="auto"/>
    </w:pPr>
    <w:rPr>
      <w:rFonts w:ascii="Arial" w:hAnsi="Arial"/>
      <w:kern w:val="0"/>
      <w:sz w:val="28"/>
      <w14:ligatures w14:val="none"/>
    </w:rPr>
  </w:style>
  <w:style w:type="character" w:customStyle="1" w:styleId="FooterChar">
    <w:name w:val="Footer Char"/>
    <w:basedOn w:val="DefaultParagraphFont"/>
    <w:link w:val="Footer"/>
    <w:uiPriority w:val="99"/>
    <w:rsid w:val="00151C6D"/>
    <w:rPr>
      <w:rFonts w:ascii="Arial" w:hAnsi="Arial"/>
      <w:kern w:val="0"/>
      <w:sz w:val="28"/>
      <w:lang w:val="fr-CA"/>
      <w14:ligatures w14:val="none"/>
    </w:rPr>
  </w:style>
  <w:style w:type="paragraph" w:customStyle="1" w:styleId="BasicParagraph">
    <w:name w:val="[Basic Paragraph]"/>
    <w:basedOn w:val="Normal"/>
    <w:uiPriority w:val="99"/>
    <w:rsid w:val="00151C6D"/>
    <w:pPr>
      <w:widowControl w:val="0"/>
      <w:autoSpaceDE w:val="0"/>
      <w:autoSpaceDN w:val="0"/>
      <w:adjustRightInd w:val="0"/>
      <w:spacing w:line="288" w:lineRule="auto"/>
      <w:textAlignment w:val="center"/>
    </w:pPr>
    <w:rPr>
      <w:rFonts w:ascii="MinionPro-Regular" w:eastAsia="MS Mincho" w:hAnsi="MinionPro-Regular" w:cs="MinionPro-Regular"/>
      <w:color w:val="000000"/>
      <w:kern w:val="0"/>
      <w:sz w:val="28"/>
      <w14:ligatures w14:val="none"/>
    </w:rPr>
  </w:style>
  <w:style w:type="character" w:styleId="CommentReference">
    <w:name w:val="annotation reference"/>
    <w:basedOn w:val="DefaultParagraphFont"/>
    <w:uiPriority w:val="99"/>
    <w:unhideWhenUsed/>
    <w:rsid w:val="00151C6D"/>
    <w:rPr>
      <w:sz w:val="16"/>
      <w:szCs w:val="16"/>
    </w:rPr>
  </w:style>
  <w:style w:type="paragraph" w:styleId="CommentText">
    <w:name w:val="annotation text"/>
    <w:basedOn w:val="Normal"/>
    <w:link w:val="CommentTextChar"/>
    <w:uiPriority w:val="99"/>
    <w:unhideWhenUsed/>
    <w:rsid w:val="00151C6D"/>
    <w:pPr>
      <w:spacing w:line="240" w:lineRule="auto"/>
    </w:pPr>
    <w:rPr>
      <w:rFonts w:ascii="Arial" w:hAnsi="Arial" w:cs="Times New Roman"/>
      <w:kern w:val="0"/>
      <w:sz w:val="20"/>
      <w:szCs w:val="20"/>
      <w14:ligatures w14:val="none"/>
    </w:rPr>
  </w:style>
  <w:style w:type="character" w:customStyle="1" w:styleId="CommentTextChar">
    <w:name w:val="Comment Text Char"/>
    <w:basedOn w:val="DefaultParagraphFont"/>
    <w:link w:val="CommentText"/>
    <w:uiPriority w:val="99"/>
    <w:rsid w:val="00151C6D"/>
    <w:rPr>
      <w:rFonts w:ascii="Arial" w:eastAsia="Times New Roman" w:hAnsi="Arial"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51C6D"/>
    <w:rPr>
      <w:b/>
      <w:bCs/>
    </w:rPr>
  </w:style>
  <w:style w:type="character" w:customStyle="1" w:styleId="CommentSubjectChar">
    <w:name w:val="Comment Subject Char"/>
    <w:basedOn w:val="CommentTextChar"/>
    <w:link w:val="CommentSubject"/>
    <w:uiPriority w:val="99"/>
    <w:semiHidden/>
    <w:rsid w:val="00151C6D"/>
    <w:rPr>
      <w:rFonts w:ascii="Arial" w:eastAsia="Times New Roman" w:hAnsi="Arial" w:cs="Times New Roman"/>
      <w:b/>
      <w:bCs/>
      <w:kern w:val="0"/>
      <w:sz w:val="20"/>
      <w:szCs w:val="20"/>
      <w14:ligatures w14:val="none"/>
    </w:rPr>
  </w:style>
  <w:style w:type="character" w:styleId="Hyperlink">
    <w:name w:val="Hyperlink"/>
    <w:basedOn w:val="DefaultParagraphFont"/>
    <w:uiPriority w:val="99"/>
    <w:unhideWhenUsed/>
    <w:rsid w:val="00151C6D"/>
    <w:rPr>
      <w:color w:val="467886" w:themeColor="hyperlink"/>
      <w:u w:val="single"/>
    </w:rPr>
  </w:style>
  <w:style w:type="paragraph" w:styleId="TOC2">
    <w:name w:val="toc 2"/>
    <w:basedOn w:val="Normal"/>
    <w:next w:val="Normal"/>
    <w:autoRedefine/>
    <w:uiPriority w:val="39"/>
    <w:unhideWhenUsed/>
    <w:rsid w:val="00C2678F"/>
    <w:pPr>
      <w:tabs>
        <w:tab w:val="right" w:leader="dot" w:pos="9350"/>
      </w:tabs>
      <w:spacing w:after="100"/>
      <w:ind w:left="220" w:hanging="220"/>
    </w:pPr>
    <w:rPr>
      <w:rFonts w:ascii="Arial" w:hAnsi="Arial"/>
      <w:kern w:val="0"/>
      <w:sz w:val="28"/>
      <w14:ligatures w14:val="none"/>
    </w:rPr>
  </w:style>
  <w:style w:type="paragraph" w:styleId="TOC3">
    <w:name w:val="toc 3"/>
    <w:basedOn w:val="Normal"/>
    <w:next w:val="Normal"/>
    <w:autoRedefine/>
    <w:uiPriority w:val="39"/>
    <w:unhideWhenUsed/>
    <w:rsid w:val="00151C6D"/>
    <w:pPr>
      <w:tabs>
        <w:tab w:val="right" w:leader="dot" w:pos="9350"/>
      </w:tabs>
      <w:spacing w:after="100"/>
      <w:ind w:left="440" w:hanging="357"/>
    </w:pPr>
    <w:rPr>
      <w:rFonts w:ascii="Arial" w:eastAsia="Verdana" w:hAnsi="Arial" w:cs="Verdana"/>
      <w:noProof/>
      <w:kern w:val="0"/>
      <w:sz w:val="28"/>
      <w14:ligatures w14:val="none"/>
    </w:rPr>
  </w:style>
  <w:style w:type="paragraph" w:styleId="TOCHeading">
    <w:name w:val="TOC Heading"/>
    <w:basedOn w:val="Heading1"/>
    <w:next w:val="Normal"/>
    <w:autoRedefine/>
    <w:uiPriority w:val="39"/>
    <w:unhideWhenUsed/>
    <w:qFormat/>
    <w:rsid w:val="00151C6D"/>
    <w:pPr>
      <w:spacing w:line="256" w:lineRule="auto"/>
      <w:outlineLvl w:val="9"/>
    </w:pPr>
    <w:rPr>
      <w:b w:val="0"/>
      <w:bCs w:val="0"/>
      <w:color w:val="000000" w:themeColor="text1"/>
      <w:kern w:val="0"/>
      <w:sz w:val="44"/>
      <w:szCs w:val="32"/>
      <w14:ligatures w14:val="none"/>
    </w:rPr>
  </w:style>
  <w:style w:type="table" w:styleId="PlainTable5">
    <w:name w:val="Plain Table 5"/>
    <w:basedOn w:val="TableNormal"/>
    <w:uiPriority w:val="45"/>
    <w:rsid w:val="00151C6D"/>
    <w:pPr>
      <w:spacing w:after="0" w:line="240" w:lineRule="auto"/>
      <w:ind w:left="357" w:hanging="357"/>
    </w:pPr>
    <w:rPr>
      <w:rFonts w:ascii="Verdana" w:hAnsi="Verdana"/>
      <w:kern w:val="0"/>
      <w:sz w:val="24"/>
      <w14:ligatures w14:val="none"/>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autoRedefine/>
    <w:uiPriority w:val="1"/>
    <w:qFormat/>
    <w:rsid w:val="009F0FF3"/>
    <w:pPr>
      <w:spacing w:after="0" w:line="240" w:lineRule="auto"/>
    </w:pPr>
    <w:rPr>
      <w:rFonts w:ascii="Arial" w:eastAsiaTheme="minorEastAsia" w:hAnsi="Arial" w:cs="Calibri"/>
      <w:kern w:val="0"/>
      <w:sz w:val="28"/>
      <w14:ligatures w14:val="none"/>
    </w:rPr>
  </w:style>
  <w:style w:type="character" w:customStyle="1" w:styleId="NoSpacingChar">
    <w:name w:val="No Spacing Char"/>
    <w:basedOn w:val="DefaultParagraphFont"/>
    <w:link w:val="NoSpacing"/>
    <w:uiPriority w:val="1"/>
    <w:rsid w:val="009F0FF3"/>
    <w:rPr>
      <w:rFonts w:ascii="Arial" w:eastAsiaTheme="minorEastAsia" w:hAnsi="Arial" w:cs="Calibri"/>
      <w:kern w:val="0"/>
      <w:sz w:val="28"/>
      <w:lang w:val="fr-CA"/>
      <w14:ligatures w14:val="none"/>
    </w:rPr>
  </w:style>
  <w:style w:type="paragraph" w:styleId="NormalWeb">
    <w:name w:val="Normal (Web)"/>
    <w:basedOn w:val="Normal"/>
    <w:uiPriority w:val="99"/>
    <w:unhideWhenUsed/>
    <w:rsid w:val="00151C6D"/>
    <w:pPr>
      <w:spacing w:before="100" w:beforeAutospacing="1" w:after="100" w:afterAutospacing="1" w:line="240" w:lineRule="auto"/>
    </w:pPr>
    <w:rPr>
      <w:rFonts w:ascii="Times New Roman" w:hAnsi="Times New Roman" w:cs="Times New Roman"/>
      <w:kern w:val="0"/>
      <w:sz w:val="28"/>
      <w14:ligatures w14:val="none"/>
    </w:rPr>
  </w:style>
  <w:style w:type="paragraph" w:styleId="TOC1">
    <w:name w:val="toc 1"/>
    <w:basedOn w:val="Normal"/>
    <w:next w:val="Normal"/>
    <w:autoRedefine/>
    <w:uiPriority w:val="39"/>
    <w:unhideWhenUsed/>
    <w:rsid w:val="00866494"/>
    <w:pPr>
      <w:tabs>
        <w:tab w:val="right" w:leader="dot" w:pos="9350"/>
      </w:tabs>
      <w:spacing w:after="100"/>
      <w:ind w:firstLine="0"/>
    </w:pPr>
    <w:rPr>
      <w:rFonts w:eastAsia="Calibri" w:cs="Calibri"/>
      <w:kern w:val="0"/>
      <w14:ligatures w14:val="none"/>
    </w:rPr>
  </w:style>
  <w:style w:type="paragraph" w:styleId="Revision">
    <w:name w:val="Revision"/>
    <w:hidden/>
    <w:uiPriority w:val="99"/>
    <w:semiHidden/>
    <w:rsid w:val="00151C6D"/>
    <w:pPr>
      <w:spacing w:after="0" w:line="240" w:lineRule="auto"/>
    </w:pPr>
    <w:rPr>
      <w:rFonts w:ascii="Calibri" w:eastAsia="Calibri" w:hAnsi="Calibri" w:cs="Calibri"/>
      <w:kern w:val="0"/>
      <w14:ligatures w14:val="none"/>
    </w:rPr>
  </w:style>
  <w:style w:type="table" w:styleId="TableGrid">
    <w:name w:val="Table Grid"/>
    <w:basedOn w:val="TableNormal"/>
    <w:uiPriority w:val="39"/>
    <w:rsid w:val="00151C6D"/>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151C6D"/>
    <w:rPr>
      <w:b/>
      <w:bCs/>
    </w:rPr>
  </w:style>
  <w:style w:type="character" w:styleId="FootnoteReference">
    <w:name w:val="footnote reference"/>
    <w:aliases w:val="Footnotes refss,Footnote number,Footnote,4_G"/>
    <w:basedOn w:val="DefaultParagraphFont"/>
    <w:uiPriority w:val="99"/>
    <w:unhideWhenUsed/>
    <w:rsid w:val="00151C6D"/>
    <w:rPr>
      <w:vertAlign w:val="superscript"/>
    </w:rPr>
  </w:style>
  <w:style w:type="paragraph" w:styleId="EndnoteText">
    <w:name w:val="endnote text"/>
    <w:basedOn w:val="Normal"/>
    <w:link w:val="EndnoteTextChar"/>
    <w:uiPriority w:val="99"/>
    <w:semiHidden/>
    <w:unhideWhenUsed/>
    <w:rsid w:val="00151C6D"/>
    <w:pPr>
      <w:spacing w:line="240" w:lineRule="auto"/>
    </w:pPr>
    <w:rPr>
      <w:rFonts w:ascii="Arial" w:hAnsi="Arial"/>
      <w:kern w:val="0"/>
      <w:sz w:val="20"/>
      <w:szCs w:val="20"/>
      <w14:ligatures w14:val="none"/>
    </w:rPr>
  </w:style>
  <w:style w:type="character" w:customStyle="1" w:styleId="EndnoteTextChar">
    <w:name w:val="Endnote Text Char"/>
    <w:basedOn w:val="DefaultParagraphFont"/>
    <w:link w:val="EndnoteText"/>
    <w:uiPriority w:val="99"/>
    <w:semiHidden/>
    <w:rsid w:val="00151C6D"/>
    <w:rPr>
      <w:rFonts w:ascii="Arial" w:hAnsi="Arial"/>
      <w:kern w:val="0"/>
      <w:sz w:val="20"/>
      <w:szCs w:val="20"/>
      <w:lang w:val="fr-CA"/>
      <w14:ligatures w14:val="none"/>
    </w:rPr>
  </w:style>
  <w:style w:type="character" w:styleId="EndnoteReference">
    <w:name w:val="endnote reference"/>
    <w:basedOn w:val="DefaultParagraphFont"/>
    <w:uiPriority w:val="99"/>
    <w:semiHidden/>
    <w:unhideWhenUsed/>
    <w:rsid w:val="00151C6D"/>
    <w:rPr>
      <w:vertAlign w:val="superscript"/>
    </w:rPr>
  </w:style>
  <w:style w:type="paragraph" w:customStyle="1" w:styleId="section">
    <w:name w:val="section"/>
    <w:basedOn w:val="Normal"/>
    <w:rsid w:val="00151C6D"/>
    <w:pPr>
      <w:spacing w:before="100" w:beforeAutospacing="1" w:after="100" w:afterAutospacing="1" w:line="240" w:lineRule="auto"/>
    </w:pPr>
    <w:rPr>
      <w:rFonts w:ascii="Times New Roman" w:hAnsi="Times New Roman" w:cs="Times New Roman"/>
      <w:kern w:val="0"/>
      <w:sz w:val="28"/>
      <w14:ligatures w14:val="none"/>
    </w:rPr>
  </w:style>
  <w:style w:type="character" w:customStyle="1" w:styleId="highlight">
    <w:name w:val="highlight"/>
    <w:basedOn w:val="DefaultParagraphFont"/>
    <w:rsid w:val="00151C6D"/>
  </w:style>
  <w:style w:type="character" w:styleId="FollowedHyperlink">
    <w:name w:val="FollowedHyperlink"/>
    <w:basedOn w:val="DefaultParagraphFont"/>
    <w:uiPriority w:val="99"/>
    <w:semiHidden/>
    <w:unhideWhenUsed/>
    <w:rsid w:val="00151C6D"/>
    <w:rPr>
      <w:color w:val="96607D" w:themeColor="followedHyperlink"/>
      <w:u w:val="single"/>
    </w:rPr>
  </w:style>
  <w:style w:type="character" w:customStyle="1" w:styleId="UnresolvedMention1">
    <w:name w:val="Unresolved Mention1"/>
    <w:basedOn w:val="DefaultParagraphFont"/>
    <w:uiPriority w:val="99"/>
    <w:semiHidden/>
    <w:unhideWhenUsed/>
    <w:rsid w:val="00151C6D"/>
    <w:rPr>
      <w:color w:val="605E5C"/>
      <w:shd w:val="clear" w:color="auto" w:fill="E1DFDD"/>
    </w:rPr>
  </w:style>
  <w:style w:type="paragraph" w:styleId="FootnoteText">
    <w:name w:val="footnote text"/>
    <w:basedOn w:val="Normal"/>
    <w:link w:val="FootnoteTextChar"/>
    <w:uiPriority w:val="99"/>
    <w:semiHidden/>
    <w:unhideWhenUsed/>
    <w:rsid w:val="00151C6D"/>
    <w:pPr>
      <w:spacing w:line="240" w:lineRule="auto"/>
    </w:pPr>
    <w:rPr>
      <w:rFonts w:ascii="Arial" w:hAnsi="Arial"/>
      <w:kern w:val="0"/>
      <w:sz w:val="20"/>
      <w:szCs w:val="20"/>
      <w14:ligatures w14:val="none"/>
    </w:rPr>
  </w:style>
  <w:style w:type="character" w:customStyle="1" w:styleId="FootnoteTextChar">
    <w:name w:val="Footnote Text Char"/>
    <w:basedOn w:val="DefaultParagraphFont"/>
    <w:link w:val="FootnoteText"/>
    <w:uiPriority w:val="99"/>
    <w:semiHidden/>
    <w:rsid w:val="00151C6D"/>
    <w:rPr>
      <w:rFonts w:ascii="Arial" w:hAnsi="Arial"/>
      <w:kern w:val="0"/>
      <w:sz w:val="20"/>
      <w:szCs w:val="20"/>
      <w:lang w:val="fr-CA"/>
      <w14:ligatures w14:val="none"/>
    </w:rPr>
  </w:style>
  <w:style w:type="character" w:styleId="Emphasis">
    <w:name w:val="Emphasis"/>
    <w:basedOn w:val="DefaultParagraphFont"/>
    <w:uiPriority w:val="20"/>
    <w:qFormat/>
    <w:rsid w:val="003F7B90"/>
    <w:rPr>
      <w:b/>
      <w:i w:val="0"/>
      <w:iCs/>
    </w:rPr>
  </w:style>
  <w:style w:type="table" w:styleId="GridTable1Light">
    <w:name w:val="Grid Table 1 Light"/>
    <w:basedOn w:val="TableNormal"/>
    <w:uiPriority w:val="46"/>
    <w:rsid w:val="00151C6D"/>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151C6D"/>
    <w:pPr>
      <w:spacing w:after="0" w:line="240" w:lineRule="auto"/>
    </w:pPr>
    <w:rPr>
      <w:kern w:val="0"/>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6Colorful-Accent5">
    <w:name w:val="Grid Table 6 Colorful Accent 5"/>
    <w:basedOn w:val="TableNormal"/>
    <w:uiPriority w:val="51"/>
    <w:rsid w:val="00151C6D"/>
    <w:pPr>
      <w:spacing w:after="0" w:line="240" w:lineRule="auto"/>
    </w:pPr>
    <w:rPr>
      <w:color w:val="77206D" w:themeColor="accent5" w:themeShade="BF"/>
      <w:kern w:val="0"/>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6Colorful">
    <w:name w:val="Grid Table 6 Colorful"/>
    <w:basedOn w:val="TableNormal"/>
    <w:uiPriority w:val="51"/>
    <w:rsid w:val="00151C6D"/>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6">
    <w:name w:val="Grid Table 5 Dark Accent 6"/>
    <w:basedOn w:val="TableNormal"/>
    <w:uiPriority w:val="50"/>
    <w:rsid w:val="00151C6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5Dark-Accent5">
    <w:name w:val="Grid Table 5 Dark Accent 5"/>
    <w:basedOn w:val="TableNormal"/>
    <w:uiPriority w:val="50"/>
    <w:rsid w:val="00151C6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GridTable5Dark-Accent3">
    <w:name w:val="Grid Table 5 Dark Accent 3"/>
    <w:basedOn w:val="TableNormal"/>
    <w:uiPriority w:val="50"/>
    <w:rsid w:val="00151C6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ListTable4">
    <w:name w:val="List Table 4"/>
    <w:basedOn w:val="TableNormal"/>
    <w:uiPriority w:val="49"/>
    <w:rsid w:val="00151C6D"/>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51C6D"/>
    <w:pPr>
      <w:spacing w:after="0" w:line="240" w:lineRule="auto"/>
    </w:pPr>
    <w:rPr>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6">
    <w:name w:val="List Table 4 Accent 6"/>
    <w:basedOn w:val="TableNormal"/>
    <w:uiPriority w:val="49"/>
    <w:rsid w:val="00151C6D"/>
    <w:pPr>
      <w:spacing w:after="0" w:line="240" w:lineRule="auto"/>
    </w:pPr>
    <w:rPr>
      <w:kern w:val="0"/>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4-Accent6">
    <w:name w:val="Grid Table 4 Accent 6"/>
    <w:basedOn w:val="TableNormal"/>
    <w:uiPriority w:val="49"/>
    <w:rsid w:val="00151C6D"/>
    <w:pPr>
      <w:spacing w:after="0" w:line="240" w:lineRule="auto"/>
    </w:pPr>
    <w:rPr>
      <w:kern w:val="0"/>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5Dark">
    <w:name w:val="Grid Table 5 Dark"/>
    <w:basedOn w:val="TableNormal"/>
    <w:uiPriority w:val="50"/>
    <w:rsid w:val="00151C6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Bibliography">
    <w:name w:val="Bibliography"/>
    <w:basedOn w:val="Normal"/>
    <w:next w:val="Normal"/>
    <w:uiPriority w:val="37"/>
    <w:unhideWhenUsed/>
    <w:rsid w:val="00151C6D"/>
    <w:rPr>
      <w:rFonts w:ascii="Arial" w:hAnsi="Arial" w:cs="Times New Roman"/>
      <w:kern w:val="0"/>
      <w:sz w:val="28"/>
      <w14:ligatures w14:val="none"/>
    </w:rPr>
  </w:style>
  <w:style w:type="paragraph" w:styleId="HTMLPreformatted">
    <w:name w:val="HTML Preformatted"/>
    <w:basedOn w:val="Normal"/>
    <w:link w:val="HTMLPreformattedChar"/>
    <w:uiPriority w:val="99"/>
    <w:semiHidden/>
    <w:unhideWhenUsed/>
    <w:rsid w:val="0015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151C6D"/>
    <w:rPr>
      <w:rFonts w:ascii="Courier New" w:eastAsia="Times New Roman" w:hAnsi="Courier New" w:cs="Courier New"/>
      <w:kern w:val="0"/>
      <w:sz w:val="20"/>
      <w:szCs w:val="20"/>
      <w14:ligatures w14:val="none"/>
    </w:rPr>
  </w:style>
  <w:style w:type="character" w:customStyle="1" w:styleId="y2iqfc">
    <w:name w:val="y2iqfc"/>
    <w:basedOn w:val="DefaultParagraphFont"/>
    <w:rsid w:val="00151C6D"/>
  </w:style>
  <w:style w:type="paragraph" w:customStyle="1" w:styleId="msonormal0">
    <w:name w:val="msonormal"/>
    <w:basedOn w:val="Normal"/>
    <w:rsid w:val="00151C6D"/>
    <w:pPr>
      <w:spacing w:before="100" w:beforeAutospacing="1" w:after="100" w:afterAutospacing="1" w:line="240" w:lineRule="auto"/>
    </w:pPr>
    <w:rPr>
      <w:rFonts w:ascii="Times New Roman" w:hAnsi="Times New Roman" w:cs="Times New Roman"/>
      <w:kern w:val="0"/>
      <w:sz w:val="28"/>
      <w14:ligatures w14:val="none"/>
    </w:rPr>
  </w:style>
  <w:style w:type="character" w:customStyle="1" w:styleId="z3988">
    <w:name w:val="z3988"/>
    <w:basedOn w:val="DefaultParagraphFont"/>
    <w:rsid w:val="00151C6D"/>
  </w:style>
  <w:style w:type="character" w:customStyle="1" w:styleId="apple-converted-space">
    <w:name w:val="apple-converted-space"/>
    <w:basedOn w:val="DefaultParagraphFont"/>
    <w:rsid w:val="00151C6D"/>
  </w:style>
  <w:style w:type="character" w:customStyle="1" w:styleId="searchhighlight">
    <w:name w:val="searchhighlight"/>
    <w:basedOn w:val="DefaultParagraphFont"/>
    <w:rsid w:val="00151C6D"/>
  </w:style>
  <w:style w:type="paragraph" w:styleId="BalloonText">
    <w:name w:val="Balloon Text"/>
    <w:basedOn w:val="Normal"/>
    <w:link w:val="BalloonTextChar"/>
    <w:uiPriority w:val="99"/>
    <w:semiHidden/>
    <w:unhideWhenUsed/>
    <w:rsid w:val="00151C6D"/>
    <w:pPr>
      <w:spacing w:line="240" w:lineRule="auto"/>
    </w:pPr>
    <w:rPr>
      <w:rFonts w:ascii="Times New Roman" w:hAnsi="Times New Roman" w:cs="Times New Roman"/>
      <w:kern w:val="0"/>
      <w:sz w:val="18"/>
      <w:szCs w:val="18"/>
      <w14:ligatures w14:val="none"/>
    </w:rPr>
  </w:style>
  <w:style w:type="character" w:customStyle="1" w:styleId="BalloonTextChar">
    <w:name w:val="Balloon Text Char"/>
    <w:basedOn w:val="DefaultParagraphFont"/>
    <w:link w:val="BalloonText"/>
    <w:uiPriority w:val="99"/>
    <w:semiHidden/>
    <w:rsid w:val="00151C6D"/>
    <w:rPr>
      <w:rFonts w:ascii="Times New Roman" w:eastAsia="Times New Roman" w:hAnsi="Times New Roman" w:cs="Times New Roman"/>
      <w:kern w:val="0"/>
      <w:sz w:val="18"/>
      <w:szCs w:val="18"/>
      <w14:ligatures w14:val="none"/>
    </w:rPr>
  </w:style>
  <w:style w:type="character" w:styleId="PageNumber">
    <w:name w:val="page number"/>
    <w:basedOn w:val="DefaultParagraphFont"/>
    <w:uiPriority w:val="99"/>
    <w:semiHidden/>
    <w:unhideWhenUsed/>
    <w:rsid w:val="00151C6D"/>
  </w:style>
  <w:style w:type="table" w:styleId="PlainTable3">
    <w:name w:val="Plain Table 3"/>
    <w:basedOn w:val="TableNormal"/>
    <w:uiPriority w:val="43"/>
    <w:rsid w:val="00151C6D"/>
    <w:pPr>
      <w:spacing w:after="0" w:line="240" w:lineRule="auto"/>
    </w:pPr>
    <w:rPr>
      <w:rFonts w:eastAsia="Times New Roman"/>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
    <w:name w:val="Grid Table 4"/>
    <w:basedOn w:val="TableNormal"/>
    <w:uiPriority w:val="49"/>
    <w:rsid w:val="00151C6D"/>
    <w:pPr>
      <w:spacing w:after="0" w:line="240" w:lineRule="auto"/>
    </w:pPr>
    <w:rPr>
      <w:rFonts w:eastAsia="Times New Roman"/>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151C6D"/>
    <w:pPr>
      <w:spacing w:after="0" w:line="240" w:lineRule="auto"/>
    </w:pPr>
    <w:rPr>
      <w:rFonts w:eastAsia="Times New Roman"/>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0">
    <w:name w:val="[Normal]"/>
    <w:uiPriority w:val="99"/>
    <w:rsid w:val="00151C6D"/>
    <w:pPr>
      <w:widowControl w:val="0"/>
      <w:autoSpaceDE w:val="0"/>
      <w:autoSpaceDN w:val="0"/>
      <w:adjustRightInd w:val="0"/>
      <w:spacing w:after="0" w:line="240" w:lineRule="auto"/>
    </w:pPr>
    <w:rPr>
      <w:rFonts w:ascii="Arial" w:hAnsi="Arial" w:cs="Arial"/>
      <w:kern w:val="0"/>
      <w:sz w:val="24"/>
      <w:szCs w:val="24"/>
      <w14:ligatures w14:val="none"/>
    </w:rPr>
  </w:style>
  <w:style w:type="table" w:styleId="PlainTable4">
    <w:name w:val="Plain Table 4"/>
    <w:basedOn w:val="TableNormal"/>
    <w:uiPriority w:val="44"/>
    <w:rsid w:val="00151C6D"/>
    <w:pPr>
      <w:spacing w:after="0" w:line="240" w:lineRule="auto"/>
    </w:pPr>
    <w:rPr>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151C6D"/>
    <w:pPr>
      <w:spacing w:before="100" w:beforeAutospacing="1" w:after="100" w:afterAutospacing="1" w:line="240" w:lineRule="auto"/>
    </w:pPr>
    <w:rPr>
      <w:rFonts w:ascii="Times New Roman" w:hAnsi="Times New Roman" w:cs="Times New Roman"/>
      <w:kern w:val="0"/>
      <w:sz w:val="28"/>
      <w14:ligatures w14:val="none"/>
    </w:rPr>
  </w:style>
  <w:style w:type="character" w:customStyle="1" w:styleId="eop">
    <w:name w:val="eop"/>
    <w:basedOn w:val="DefaultParagraphFont"/>
    <w:rsid w:val="00151C6D"/>
  </w:style>
  <w:style w:type="character" w:customStyle="1" w:styleId="textrun">
    <w:name w:val="textrun"/>
    <w:basedOn w:val="DefaultParagraphFont"/>
    <w:rsid w:val="00151C6D"/>
  </w:style>
  <w:style w:type="character" w:customStyle="1" w:styleId="normaltextrun">
    <w:name w:val="normaltextrun"/>
    <w:basedOn w:val="DefaultParagraphFont"/>
    <w:rsid w:val="00151C6D"/>
  </w:style>
  <w:style w:type="paragraph" w:customStyle="1" w:styleId="outlineelement">
    <w:name w:val="outlineelement"/>
    <w:basedOn w:val="Normal"/>
    <w:rsid w:val="00151C6D"/>
    <w:pPr>
      <w:spacing w:before="100" w:beforeAutospacing="1" w:after="100" w:afterAutospacing="1" w:line="240" w:lineRule="auto"/>
    </w:pPr>
    <w:rPr>
      <w:rFonts w:ascii="Times New Roman" w:hAnsi="Times New Roman" w:cs="Times New Roman"/>
      <w:kern w:val="0"/>
      <w:sz w:val="28"/>
      <w14:ligatures w14:val="none"/>
    </w:rPr>
  </w:style>
  <w:style w:type="character" w:customStyle="1" w:styleId="linebreakblob">
    <w:name w:val="linebreakblob"/>
    <w:basedOn w:val="DefaultParagraphFont"/>
    <w:rsid w:val="00151C6D"/>
  </w:style>
  <w:style w:type="character" w:customStyle="1" w:styleId="scxw143972197">
    <w:name w:val="scxw143972197"/>
    <w:basedOn w:val="DefaultParagraphFont"/>
    <w:rsid w:val="00151C6D"/>
  </w:style>
  <w:style w:type="character" w:customStyle="1" w:styleId="superscript">
    <w:name w:val="superscript"/>
    <w:basedOn w:val="DefaultParagraphFont"/>
    <w:rsid w:val="00151C6D"/>
  </w:style>
  <w:style w:type="character" w:customStyle="1" w:styleId="tabrun">
    <w:name w:val="tabrun"/>
    <w:basedOn w:val="DefaultParagraphFont"/>
    <w:rsid w:val="00151C6D"/>
  </w:style>
  <w:style w:type="character" w:customStyle="1" w:styleId="tabchar">
    <w:name w:val="tabchar"/>
    <w:basedOn w:val="DefaultParagraphFont"/>
    <w:rsid w:val="00151C6D"/>
  </w:style>
  <w:style w:type="character" w:customStyle="1" w:styleId="tableaderchars">
    <w:name w:val="tableaderchars"/>
    <w:basedOn w:val="DefaultParagraphFont"/>
    <w:rsid w:val="00151C6D"/>
  </w:style>
  <w:style w:type="character" w:customStyle="1" w:styleId="scxw109391192">
    <w:name w:val="scxw109391192"/>
    <w:basedOn w:val="DefaultParagraphFont"/>
    <w:rsid w:val="00151C6D"/>
  </w:style>
  <w:style w:type="paragraph" w:styleId="TOC4">
    <w:name w:val="toc 4"/>
    <w:basedOn w:val="Normal"/>
    <w:next w:val="Normal"/>
    <w:autoRedefine/>
    <w:uiPriority w:val="39"/>
    <w:unhideWhenUsed/>
    <w:rsid w:val="00151C6D"/>
    <w:pPr>
      <w:spacing w:after="100" w:line="278" w:lineRule="auto"/>
      <w:ind w:left="720"/>
    </w:pPr>
    <w:rPr>
      <w:rFonts w:eastAsiaTheme="minorEastAsia"/>
      <w:sz w:val="28"/>
      <w14:ligatures w14:val="none"/>
    </w:rPr>
  </w:style>
  <w:style w:type="paragraph" w:styleId="TOC5">
    <w:name w:val="toc 5"/>
    <w:basedOn w:val="Normal"/>
    <w:next w:val="Normal"/>
    <w:autoRedefine/>
    <w:uiPriority w:val="39"/>
    <w:unhideWhenUsed/>
    <w:rsid w:val="00151C6D"/>
    <w:pPr>
      <w:spacing w:after="100" w:line="278" w:lineRule="auto"/>
      <w:ind w:left="960"/>
    </w:pPr>
    <w:rPr>
      <w:rFonts w:eastAsiaTheme="minorEastAsia"/>
      <w:sz w:val="28"/>
      <w14:ligatures w14:val="none"/>
    </w:rPr>
  </w:style>
  <w:style w:type="paragraph" w:styleId="TOC6">
    <w:name w:val="toc 6"/>
    <w:basedOn w:val="Normal"/>
    <w:next w:val="Normal"/>
    <w:autoRedefine/>
    <w:uiPriority w:val="39"/>
    <w:unhideWhenUsed/>
    <w:rsid w:val="00151C6D"/>
    <w:pPr>
      <w:spacing w:after="100" w:line="278" w:lineRule="auto"/>
      <w:ind w:left="1200"/>
    </w:pPr>
    <w:rPr>
      <w:rFonts w:eastAsiaTheme="minorEastAsia"/>
      <w:sz w:val="28"/>
      <w14:ligatures w14:val="none"/>
    </w:rPr>
  </w:style>
  <w:style w:type="paragraph" w:styleId="TOC7">
    <w:name w:val="toc 7"/>
    <w:basedOn w:val="Normal"/>
    <w:next w:val="Normal"/>
    <w:autoRedefine/>
    <w:uiPriority w:val="39"/>
    <w:unhideWhenUsed/>
    <w:rsid w:val="00151C6D"/>
    <w:pPr>
      <w:spacing w:after="100" w:line="278" w:lineRule="auto"/>
      <w:ind w:left="1440"/>
    </w:pPr>
    <w:rPr>
      <w:rFonts w:eastAsiaTheme="minorEastAsia"/>
      <w:sz w:val="28"/>
      <w14:ligatures w14:val="none"/>
    </w:rPr>
  </w:style>
  <w:style w:type="paragraph" w:styleId="TOC8">
    <w:name w:val="toc 8"/>
    <w:basedOn w:val="Normal"/>
    <w:next w:val="Normal"/>
    <w:autoRedefine/>
    <w:uiPriority w:val="39"/>
    <w:unhideWhenUsed/>
    <w:rsid w:val="00151C6D"/>
    <w:pPr>
      <w:spacing w:after="100" w:line="278" w:lineRule="auto"/>
      <w:ind w:left="1680"/>
    </w:pPr>
    <w:rPr>
      <w:rFonts w:eastAsiaTheme="minorEastAsia"/>
      <w:sz w:val="28"/>
      <w14:ligatures w14:val="none"/>
    </w:rPr>
  </w:style>
  <w:style w:type="paragraph" w:styleId="TOC9">
    <w:name w:val="toc 9"/>
    <w:basedOn w:val="Normal"/>
    <w:next w:val="Normal"/>
    <w:autoRedefine/>
    <w:uiPriority w:val="39"/>
    <w:unhideWhenUsed/>
    <w:rsid w:val="00151C6D"/>
    <w:pPr>
      <w:spacing w:after="100" w:line="278" w:lineRule="auto"/>
      <w:ind w:left="1920"/>
    </w:pPr>
    <w:rPr>
      <w:rFonts w:eastAsiaTheme="minorEastAsia"/>
      <w:sz w:val="28"/>
      <w14:ligatures w14:val="none"/>
    </w:rPr>
  </w:style>
  <w:style w:type="table" w:styleId="PlainTable2">
    <w:name w:val="Plain Table 2"/>
    <w:basedOn w:val="TableNormal"/>
    <w:uiPriority w:val="42"/>
    <w:rsid w:val="005B41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4546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PABibliography">
    <w:name w:val="APA Bibliography"/>
    <w:basedOn w:val="Normal"/>
    <w:link w:val="APABibliographyChar"/>
    <w:qFormat/>
    <w:rsid w:val="00912178"/>
    <w:pPr>
      <w:ind w:left="720" w:hanging="720"/>
    </w:pPr>
  </w:style>
  <w:style w:type="character" w:customStyle="1" w:styleId="APABibliographyChar">
    <w:name w:val="APA Bibliography Char"/>
    <w:basedOn w:val="DefaultParagraphFont"/>
    <w:link w:val="APABibliography"/>
    <w:rsid w:val="00912178"/>
    <w:rPr>
      <w:rFonts w:ascii="Verdana" w:eastAsiaTheme="majorEastAsia" w:hAnsi="Verdana" w:cs="Arial"/>
      <w:sz w:val="24"/>
      <w:szCs w:val="24"/>
      <w:lang w:val="fr-CA" w:eastAsia="en-CA"/>
    </w:rPr>
  </w:style>
  <w:style w:type="character" w:styleId="UnresolvedMention">
    <w:name w:val="Unresolved Mention"/>
    <w:basedOn w:val="DefaultParagraphFont"/>
    <w:uiPriority w:val="99"/>
    <w:semiHidden/>
    <w:unhideWhenUsed/>
    <w:rsid w:val="00A33539"/>
    <w:rPr>
      <w:color w:val="605E5C"/>
      <w:shd w:val="clear" w:color="auto" w:fill="E1DFDD"/>
    </w:rPr>
  </w:style>
  <w:style w:type="table" w:customStyle="1" w:styleId="GridTable1Light1">
    <w:name w:val="Grid Table 1 Light1"/>
    <w:basedOn w:val="TableNormal"/>
    <w:next w:val="GridTable1Light"/>
    <w:uiPriority w:val="46"/>
    <w:rsid w:val="0060475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autoRedefine/>
    <w:uiPriority w:val="35"/>
    <w:unhideWhenUsed/>
    <w:qFormat/>
    <w:rsid w:val="00084836"/>
    <w:pPr>
      <w:keepNext/>
      <w:spacing w:before="0" w:after="200"/>
      <w:ind w:firstLine="0"/>
    </w:pPr>
    <w:rPr>
      <w:i/>
      <w:iCs/>
      <w:color w:val="000000" w:themeColor="text1"/>
      <w:szCs w:val="18"/>
    </w:rPr>
  </w:style>
  <w:style w:type="paragraph" w:customStyle="1" w:styleId="APAFigureCaption">
    <w:name w:val="APA: Figure Caption"/>
    <w:basedOn w:val="NormalWeb"/>
    <w:autoRedefine/>
    <w:qFormat/>
    <w:rsid w:val="002D215D"/>
    <w:pPr>
      <w:keepNext/>
      <w:spacing w:line="480" w:lineRule="auto"/>
      <w:ind w:firstLine="0"/>
    </w:pPr>
    <w:rPr>
      <w:rFonts w:ascii="Verdana" w:hAnsi="Verdana"/>
      <w:b/>
      <w:bCs/>
      <w:sz w:val="24"/>
    </w:rPr>
  </w:style>
  <w:style w:type="paragraph" w:styleId="TableofFigures">
    <w:name w:val="table of figures"/>
    <w:basedOn w:val="Normal"/>
    <w:next w:val="Normal"/>
    <w:uiPriority w:val="99"/>
    <w:unhideWhenUsed/>
    <w:rsid w:val="00821F7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5882">
      <w:bodyDiv w:val="1"/>
      <w:marLeft w:val="0"/>
      <w:marRight w:val="0"/>
      <w:marTop w:val="0"/>
      <w:marBottom w:val="0"/>
      <w:divBdr>
        <w:top w:val="none" w:sz="0" w:space="0" w:color="auto"/>
        <w:left w:val="none" w:sz="0" w:space="0" w:color="auto"/>
        <w:bottom w:val="none" w:sz="0" w:space="0" w:color="auto"/>
        <w:right w:val="none" w:sz="0" w:space="0" w:color="auto"/>
      </w:divBdr>
    </w:div>
    <w:div w:id="61224750">
      <w:bodyDiv w:val="1"/>
      <w:marLeft w:val="0"/>
      <w:marRight w:val="0"/>
      <w:marTop w:val="0"/>
      <w:marBottom w:val="0"/>
      <w:divBdr>
        <w:top w:val="none" w:sz="0" w:space="0" w:color="auto"/>
        <w:left w:val="none" w:sz="0" w:space="0" w:color="auto"/>
        <w:bottom w:val="none" w:sz="0" w:space="0" w:color="auto"/>
        <w:right w:val="none" w:sz="0" w:space="0" w:color="auto"/>
      </w:divBdr>
      <w:divsChild>
        <w:div w:id="328219092">
          <w:marLeft w:val="480"/>
          <w:marRight w:val="0"/>
          <w:marTop w:val="0"/>
          <w:marBottom w:val="0"/>
          <w:divBdr>
            <w:top w:val="none" w:sz="0" w:space="0" w:color="auto"/>
            <w:left w:val="none" w:sz="0" w:space="0" w:color="auto"/>
            <w:bottom w:val="none" w:sz="0" w:space="0" w:color="auto"/>
            <w:right w:val="none" w:sz="0" w:space="0" w:color="auto"/>
          </w:divBdr>
          <w:divsChild>
            <w:div w:id="11927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6600">
      <w:bodyDiv w:val="1"/>
      <w:marLeft w:val="0"/>
      <w:marRight w:val="0"/>
      <w:marTop w:val="0"/>
      <w:marBottom w:val="0"/>
      <w:divBdr>
        <w:top w:val="none" w:sz="0" w:space="0" w:color="auto"/>
        <w:left w:val="none" w:sz="0" w:space="0" w:color="auto"/>
        <w:bottom w:val="none" w:sz="0" w:space="0" w:color="auto"/>
        <w:right w:val="none" w:sz="0" w:space="0" w:color="auto"/>
      </w:divBdr>
      <w:divsChild>
        <w:div w:id="1199203091">
          <w:marLeft w:val="480"/>
          <w:marRight w:val="0"/>
          <w:marTop w:val="0"/>
          <w:marBottom w:val="0"/>
          <w:divBdr>
            <w:top w:val="none" w:sz="0" w:space="0" w:color="auto"/>
            <w:left w:val="none" w:sz="0" w:space="0" w:color="auto"/>
            <w:bottom w:val="none" w:sz="0" w:space="0" w:color="auto"/>
            <w:right w:val="none" w:sz="0" w:space="0" w:color="auto"/>
          </w:divBdr>
          <w:divsChild>
            <w:div w:id="2926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050">
      <w:bodyDiv w:val="1"/>
      <w:marLeft w:val="0"/>
      <w:marRight w:val="0"/>
      <w:marTop w:val="0"/>
      <w:marBottom w:val="0"/>
      <w:divBdr>
        <w:top w:val="none" w:sz="0" w:space="0" w:color="auto"/>
        <w:left w:val="none" w:sz="0" w:space="0" w:color="auto"/>
        <w:bottom w:val="none" w:sz="0" w:space="0" w:color="auto"/>
        <w:right w:val="none" w:sz="0" w:space="0" w:color="auto"/>
      </w:divBdr>
    </w:div>
    <w:div w:id="88702340">
      <w:bodyDiv w:val="1"/>
      <w:marLeft w:val="0"/>
      <w:marRight w:val="0"/>
      <w:marTop w:val="0"/>
      <w:marBottom w:val="0"/>
      <w:divBdr>
        <w:top w:val="none" w:sz="0" w:space="0" w:color="auto"/>
        <w:left w:val="none" w:sz="0" w:space="0" w:color="auto"/>
        <w:bottom w:val="none" w:sz="0" w:space="0" w:color="auto"/>
        <w:right w:val="none" w:sz="0" w:space="0" w:color="auto"/>
      </w:divBdr>
    </w:div>
    <w:div w:id="101463173">
      <w:bodyDiv w:val="1"/>
      <w:marLeft w:val="0"/>
      <w:marRight w:val="0"/>
      <w:marTop w:val="0"/>
      <w:marBottom w:val="0"/>
      <w:divBdr>
        <w:top w:val="none" w:sz="0" w:space="0" w:color="auto"/>
        <w:left w:val="none" w:sz="0" w:space="0" w:color="auto"/>
        <w:bottom w:val="none" w:sz="0" w:space="0" w:color="auto"/>
        <w:right w:val="none" w:sz="0" w:space="0" w:color="auto"/>
      </w:divBdr>
    </w:div>
    <w:div w:id="104737023">
      <w:bodyDiv w:val="1"/>
      <w:marLeft w:val="0"/>
      <w:marRight w:val="0"/>
      <w:marTop w:val="0"/>
      <w:marBottom w:val="0"/>
      <w:divBdr>
        <w:top w:val="none" w:sz="0" w:space="0" w:color="auto"/>
        <w:left w:val="none" w:sz="0" w:space="0" w:color="auto"/>
        <w:bottom w:val="none" w:sz="0" w:space="0" w:color="auto"/>
        <w:right w:val="none" w:sz="0" w:space="0" w:color="auto"/>
      </w:divBdr>
    </w:div>
    <w:div w:id="108746948">
      <w:bodyDiv w:val="1"/>
      <w:marLeft w:val="0"/>
      <w:marRight w:val="0"/>
      <w:marTop w:val="0"/>
      <w:marBottom w:val="0"/>
      <w:divBdr>
        <w:top w:val="none" w:sz="0" w:space="0" w:color="auto"/>
        <w:left w:val="none" w:sz="0" w:space="0" w:color="auto"/>
        <w:bottom w:val="none" w:sz="0" w:space="0" w:color="auto"/>
        <w:right w:val="none" w:sz="0" w:space="0" w:color="auto"/>
      </w:divBdr>
      <w:divsChild>
        <w:div w:id="491222778">
          <w:marLeft w:val="480"/>
          <w:marRight w:val="0"/>
          <w:marTop w:val="0"/>
          <w:marBottom w:val="0"/>
          <w:divBdr>
            <w:top w:val="none" w:sz="0" w:space="0" w:color="auto"/>
            <w:left w:val="none" w:sz="0" w:space="0" w:color="auto"/>
            <w:bottom w:val="none" w:sz="0" w:space="0" w:color="auto"/>
            <w:right w:val="none" w:sz="0" w:space="0" w:color="auto"/>
          </w:divBdr>
          <w:divsChild>
            <w:div w:id="188953479">
              <w:marLeft w:val="0"/>
              <w:marRight w:val="0"/>
              <w:marTop w:val="0"/>
              <w:marBottom w:val="0"/>
              <w:divBdr>
                <w:top w:val="none" w:sz="0" w:space="0" w:color="auto"/>
                <w:left w:val="none" w:sz="0" w:space="0" w:color="auto"/>
                <w:bottom w:val="none" w:sz="0" w:space="0" w:color="auto"/>
                <w:right w:val="none" w:sz="0" w:space="0" w:color="auto"/>
              </w:divBdr>
            </w:div>
            <w:div w:id="284968930">
              <w:marLeft w:val="0"/>
              <w:marRight w:val="0"/>
              <w:marTop w:val="0"/>
              <w:marBottom w:val="0"/>
              <w:divBdr>
                <w:top w:val="none" w:sz="0" w:space="0" w:color="auto"/>
                <w:left w:val="none" w:sz="0" w:space="0" w:color="auto"/>
                <w:bottom w:val="none" w:sz="0" w:space="0" w:color="auto"/>
                <w:right w:val="none" w:sz="0" w:space="0" w:color="auto"/>
              </w:divBdr>
            </w:div>
            <w:div w:id="1026444823">
              <w:marLeft w:val="0"/>
              <w:marRight w:val="0"/>
              <w:marTop w:val="0"/>
              <w:marBottom w:val="0"/>
              <w:divBdr>
                <w:top w:val="none" w:sz="0" w:space="0" w:color="auto"/>
                <w:left w:val="none" w:sz="0" w:space="0" w:color="auto"/>
                <w:bottom w:val="none" w:sz="0" w:space="0" w:color="auto"/>
                <w:right w:val="none" w:sz="0" w:space="0" w:color="auto"/>
              </w:divBdr>
            </w:div>
            <w:div w:id="1035158356">
              <w:marLeft w:val="0"/>
              <w:marRight w:val="0"/>
              <w:marTop w:val="0"/>
              <w:marBottom w:val="0"/>
              <w:divBdr>
                <w:top w:val="none" w:sz="0" w:space="0" w:color="auto"/>
                <w:left w:val="none" w:sz="0" w:space="0" w:color="auto"/>
                <w:bottom w:val="none" w:sz="0" w:space="0" w:color="auto"/>
                <w:right w:val="none" w:sz="0" w:space="0" w:color="auto"/>
              </w:divBdr>
            </w:div>
            <w:div w:id="1058937723">
              <w:marLeft w:val="0"/>
              <w:marRight w:val="0"/>
              <w:marTop w:val="0"/>
              <w:marBottom w:val="0"/>
              <w:divBdr>
                <w:top w:val="none" w:sz="0" w:space="0" w:color="auto"/>
                <w:left w:val="none" w:sz="0" w:space="0" w:color="auto"/>
                <w:bottom w:val="none" w:sz="0" w:space="0" w:color="auto"/>
                <w:right w:val="none" w:sz="0" w:space="0" w:color="auto"/>
              </w:divBdr>
            </w:div>
            <w:div w:id="1195078022">
              <w:marLeft w:val="0"/>
              <w:marRight w:val="0"/>
              <w:marTop w:val="0"/>
              <w:marBottom w:val="0"/>
              <w:divBdr>
                <w:top w:val="none" w:sz="0" w:space="0" w:color="auto"/>
                <w:left w:val="none" w:sz="0" w:space="0" w:color="auto"/>
                <w:bottom w:val="none" w:sz="0" w:space="0" w:color="auto"/>
                <w:right w:val="none" w:sz="0" w:space="0" w:color="auto"/>
              </w:divBdr>
            </w:div>
            <w:div w:id="1205411370">
              <w:marLeft w:val="0"/>
              <w:marRight w:val="0"/>
              <w:marTop w:val="0"/>
              <w:marBottom w:val="0"/>
              <w:divBdr>
                <w:top w:val="none" w:sz="0" w:space="0" w:color="auto"/>
                <w:left w:val="none" w:sz="0" w:space="0" w:color="auto"/>
                <w:bottom w:val="none" w:sz="0" w:space="0" w:color="auto"/>
                <w:right w:val="none" w:sz="0" w:space="0" w:color="auto"/>
              </w:divBdr>
            </w:div>
            <w:div w:id="18153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3553">
      <w:bodyDiv w:val="1"/>
      <w:marLeft w:val="0"/>
      <w:marRight w:val="0"/>
      <w:marTop w:val="0"/>
      <w:marBottom w:val="0"/>
      <w:divBdr>
        <w:top w:val="none" w:sz="0" w:space="0" w:color="auto"/>
        <w:left w:val="none" w:sz="0" w:space="0" w:color="auto"/>
        <w:bottom w:val="none" w:sz="0" w:space="0" w:color="auto"/>
        <w:right w:val="none" w:sz="0" w:space="0" w:color="auto"/>
      </w:divBdr>
      <w:divsChild>
        <w:div w:id="2130542488">
          <w:marLeft w:val="480"/>
          <w:marRight w:val="0"/>
          <w:marTop w:val="0"/>
          <w:marBottom w:val="0"/>
          <w:divBdr>
            <w:top w:val="none" w:sz="0" w:space="0" w:color="auto"/>
            <w:left w:val="none" w:sz="0" w:space="0" w:color="auto"/>
            <w:bottom w:val="none" w:sz="0" w:space="0" w:color="auto"/>
            <w:right w:val="none" w:sz="0" w:space="0" w:color="auto"/>
          </w:divBdr>
          <w:divsChild>
            <w:div w:id="138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0367">
      <w:bodyDiv w:val="1"/>
      <w:marLeft w:val="0"/>
      <w:marRight w:val="0"/>
      <w:marTop w:val="0"/>
      <w:marBottom w:val="0"/>
      <w:divBdr>
        <w:top w:val="none" w:sz="0" w:space="0" w:color="auto"/>
        <w:left w:val="none" w:sz="0" w:space="0" w:color="auto"/>
        <w:bottom w:val="none" w:sz="0" w:space="0" w:color="auto"/>
        <w:right w:val="none" w:sz="0" w:space="0" w:color="auto"/>
      </w:divBdr>
    </w:div>
    <w:div w:id="199630295">
      <w:bodyDiv w:val="1"/>
      <w:marLeft w:val="0"/>
      <w:marRight w:val="0"/>
      <w:marTop w:val="0"/>
      <w:marBottom w:val="0"/>
      <w:divBdr>
        <w:top w:val="none" w:sz="0" w:space="0" w:color="auto"/>
        <w:left w:val="none" w:sz="0" w:space="0" w:color="auto"/>
        <w:bottom w:val="none" w:sz="0" w:space="0" w:color="auto"/>
        <w:right w:val="none" w:sz="0" w:space="0" w:color="auto"/>
      </w:divBdr>
    </w:div>
    <w:div w:id="208618316">
      <w:bodyDiv w:val="1"/>
      <w:marLeft w:val="0"/>
      <w:marRight w:val="0"/>
      <w:marTop w:val="0"/>
      <w:marBottom w:val="0"/>
      <w:divBdr>
        <w:top w:val="none" w:sz="0" w:space="0" w:color="auto"/>
        <w:left w:val="none" w:sz="0" w:space="0" w:color="auto"/>
        <w:bottom w:val="none" w:sz="0" w:space="0" w:color="auto"/>
        <w:right w:val="none" w:sz="0" w:space="0" w:color="auto"/>
      </w:divBdr>
    </w:div>
    <w:div w:id="221841232">
      <w:bodyDiv w:val="1"/>
      <w:marLeft w:val="0"/>
      <w:marRight w:val="0"/>
      <w:marTop w:val="0"/>
      <w:marBottom w:val="0"/>
      <w:divBdr>
        <w:top w:val="none" w:sz="0" w:space="0" w:color="auto"/>
        <w:left w:val="none" w:sz="0" w:space="0" w:color="auto"/>
        <w:bottom w:val="none" w:sz="0" w:space="0" w:color="auto"/>
        <w:right w:val="none" w:sz="0" w:space="0" w:color="auto"/>
      </w:divBdr>
      <w:divsChild>
        <w:div w:id="527570409">
          <w:marLeft w:val="480"/>
          <w:marRight w:val="0"/>
          <w:marTop w:val="0"/>
          <w:marBottom w:val="0"/>
          <w:divBdr>
            <w:top w:val="none" w:sz="0" w:space="0" w:color="auto"/>
            <w:left w:val="none" w:sz="0" w:space="0" w:color="auto"/>
            <w:bottom w:val="none" w:sz="0" w:space="0" w:color="auto"/>
            <w:right w:val="none" w:sz="0" w:space="0" w:color="auto"/>
          </w:divBdr>
          <w:divsChild>
            <w:div w:id="16002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27513">
      <w:bodyDiv w:val="1"/>
      <w:marLeft w:val="0"/>
      <w:marRight w:val="0"/>
      <w:marTop w:val="0"/>
      <w:marBottom w:val="0"/>
      <w:divBdr>
        <w:top w:val="none" w:sz="0" w:space="0" w:color="auto"/>
        <w:left w:val="none" w:sz="0" w:space="0" w:color="auto"/>
        <w:bottom w:val="none" w:sz="0" w:space="0" w:color="auto"/>
        <w:right w:val="none" w:sz="0" w:space="0" w:color="auto"/>
      </w:divBdr>
      <w:divsChild>
        <w:div w:id="353652178">
          <w:marLeft w:val="0"/>
          <w:marRight w:val="0"/>
          <w:marTop w:val="0"/>
          <w:marBottom w:val="0"/>
          <w:divBdr>
            <w:top w:val="none" w:sz="0" w:space="0" w:color="auto"/>
            <w:left w:val="none" w:sz="0" w:space="0" w:color="auto"/>
            <w:bottom w:val="none" w:sz="0" w:space="0" w:color="auto"/>
            <w:right w:val="none" w:sz="0" w:space="0" w:color="auto"/>
          </w:divBdr>
          <w:divsChild>
            <w:div w:id="802968075">
              <w:marLeft w:val="0"/>
              <w:marRight w:val="0"/>
              <w:marTop w:val="0"/>
              <w:marBottom w:val="0"/>
              <w:divBdr>
                <w:top w:val="none" w:sz="0" w:space="0" w:color="auto"/>
                <w:left w:val="none" w:sz="0" w:space="0" w:color="auto"/>
                <w:bottom w:val="none" w:sz="0" w:space="0" w:color="auto"/>
                <w:right w:val="none" w:sz="0" w:space="0" w:color="auto"/>
              </w:divBdr>
              <w:divsChild>
                <w:div w:id="854617364">
                  <w:marLeft w:val="0"/>
                  <w:marRight w:val="0"/>
                  <w:marTop w:val="0"/>
                  <w:marBottom w:val="0"/>
                  <w:divBdr>
                    <w:top w:val="none" w:sz="0" w:space="0" w:color="auto"/>
                    <w:left w:val="none" w:sz="0" w:space="0" w:color="auto"/>
                    <w:bottom w:val="none" w:sz="0" w:space="0" w:color="auto"/>
                    <w:right w:val="none" w:sz="0" w:space="0" w:color="auto"/>
                  </w:divBdr>
                  <w:divsChild>
                    <w:div w:id="940600579">
                      <w:marLeft w:val="0"/>
                      <w:marRight w:val="0"/>
                      <w:marTop w:val="0"/>
                      <w:marBottom w:val="0"/>
                      <w:divBdr>
                        <w:top w:val="none" w:sz="0" w:space="0" w:color="auto"/>
                        <w:left w:val="none" w:sz="0" w:space="0" w:color="auto"/>
                        <w:bottom w:val="none" w:sz="0" w:space="0" w:color="auto"/>
                        <w:right w:val="none" w:sz="0" w:space="0" w:color="auto"/>
                      </w:divBdr>
                      <w:divsChild>
                        <w:div w:id="80102843">
                          <w:marLeft w:val="0"/>
                          <w:marRight w:val="0"/>
                          <w:marTop w:val="0"/>
                          <w:marBottom w:val="0"/>
                          <w:divBdr>
                            <w:top w:val="none" w:sz="0" w:space="0" w:color="auto"/>
                            <w:left w:val="none" w:sz="0" w:space="0" w:color="auto"/>
                            <w:bottom w:val="none" w:sz="0" w:space="0" w:color="auto"/>
                            <w:right w:val="none" w:sz="0" w:space="0" w:color="auto"/>
                          </w:divBdr>
                          <w:divsChild>
                            <w:div w:id="202921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479194">
      <w:bodyDiv w:val="1"/>
      <w:marLeft w:val="0"/>
      <w:marRight w:val="0"/>
      <w:marTop w:val="0"/>
      <w:marBottom w:val="0"/>
      <w:divBdr>
        <w:top w:val="none" w:sz="0" w:space="0" w:color="auto"/>
        <w:left w:val="none" w:sz="0" w:space="0" w:color="auto"/>
        <w:bottom w:val="none" w:sz="0" w:space="0" w:color="auto"/>
        <w:right w:val="none" w:sz="0" w:space="0" w:color="auto"/>
      </w:divBdr>
    </w:div>
    <w:div w:id="278462580">
      <w:bodyDiv w:val="1"/>
      <w:marLeft w:val="0"/>
      <w:marRight w:val="0"/>
      <w:marTop w:val="0"/>
      <w:marBottom w:val="0"/>
      <w:divBdr>
        <w:top w:val="none" w:sz="0" w:space="0" w:color="auto"/>
        <w:left w:val="none" w:sz="0" w:space="0" w:color="auto"/>
        <w:bottom w:val="none" w:sz="0" w:space="0" w:color="auto"/>
        <w:right w:val="none" w:sz="0" w:space="0" w:color="auto"/>
      </w:divBdr>
    </w:div>
    <w:div w:id="305937134">
      <w:bodyDiv w:val="1"/>
      <w:marLeft w:val="0"/>
      <w:marRight w:val="0"/>
      <w:marTop w:val="0"/>
      <w:marBottom w:val="0"/>
      <w:divBdr>
        <w:top w:val="none" w:sz="0" w:space="0" w:color="auto"/>
        <w:left w:val="none" w:sz="0" w:space="0" w:color="auto"/>
        <w:bottom w:val="none" w:sz="0" w:space="0" w:color="auto"/>
        <w:right w:val="none" w:sz="0" w:space="0" w:color="auto"/>
      </w:divBdr>
    </w:div>
    <w:div w:id="378743310">
      <w:bodyDiv w:val="1"/>
      <w:marLeft w:val="0"/>
      <w:marRight w:val="0"/>
      <w:marTop w:val="0"/>
      <w:marBottom w:val="0"/>
      <w:divBdr>
        <w:top w:val="none" w:sz="0" w:space="0" w:color="auto"/>
        <w:left w:val="none" w:sz="0" w:space="0" w:color="auto"/>
        <w:bottom w:val="none" w:sz="0" w:space="0" w:color="auto"/>
        <w:right w:val="none" w:sz="0" w:space="0" w:color="auto"/>
      </w:divBdr>
    </w:div>
    <w:div w:id="423065241">
      <w:bodyDiv w:val="1"/>
      <w:marLeft w:val="0"/>
      <w:marRight w:val="0"/>
      <w:marTop w:val="0"/>
      <w:marBottom w:val="0"/>
      <w:divBdr>
        <w:top w:val="none" w:sz="0" w:space="0" w:color="auto"/>
        <w:left w:val="none" w:sz="0" w:space="0" w:color="auto"/>
        <w:bottom w:val="none" w:sz="0" w:space="0" w:color="auto"/>
        <w:right w:val="none" w:sz="0" w:space="0" w:color="auto"/>
      </w:divBdr>
      <w:divsChild>
        <w:div w:id="263078924">
          <w:marLeft w:val="480"/>
          <w:marRight w:val="0"/>
          <w:marTop w:val="0"/>
          <w:marBottom w:val="0"/>
          <w:divBdr>
            <w:top w:val="none" w:sz="0" w:space="0" w:color="auto"/>
            <w:left w:val="none" w:sz="0" w:space="0" w:color="auto"/>
            <w:bottom w:val="none" w:sz="0" w:space="0" w:color="auto"/>
            <w:right w:val="none" w:sz="0" w:space="0" w:color="auto"/>
          </w:divBdr>
          <w:divsChild>
            <w:div w:id="16327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667">
      <w:bodyDiv w:val="1"/>
      <w:marLeft w:val="0"/>
      <w:marRight w:val="0"/>
      <w:marTop w:val="0"/>
      <w:marBottom w:val="0"/>
      <w:divBdr>
        <w:top w:val="none" w:sz="0" w:space="0" w:color="auto"/>
        <w:left w:val="none" w:sz="0" w:space="0" w:color="auto"/>
        <w:bottom w:val="none" w:sz="0" w:space="0" w:color="auto"/>
        <w:right w:val="none" w:sz="0" w:space="0" w:color="auto"/>
      </w:divBdr>
    </w:div>
    <w:div w:id="433981573">
      <w:bodyDiv w:val="1"/>
      <w:marLeft w:val="0"/>
      <w:marRight w:val="0"/>
      <w:marTop w:val="0"/>
      <w:marBottom w:val="0"/>
      <w:divBdr>
        <w:top w:val="none" w:sz="0" w:space="0" w:color="auto"/>
        <w:left w:val="none" w:sz="0" w:space="0" w:color="auto"/>
        <w:bottom w:val="none" w:sz="0" w:space="0" w:color="auto"/>
        <w:right w:val="none" w:sz="0" w:space="0" w:color="auto"/>
      </w:divBdr>
    </w:div>
    <w:div w:id="439418963">
      <w:bodyDiv w:val="1"/>
      <w:marLeft w:val="0"/>
      <w:marRight w:val="0"/>
      <w:marTop w:val="0"/>
      <w:marBottom w:val="0"/>
      <w:divBdr>
        <w:top w:val="none" w:sz="0" w:space="0" w:color="auto"/>
        <w:left w:val="none" w:sz="0" w:space="0" w:color="auto"/>
        <w:bottom w:val="none" w:sz="0" w:space="0" w:color="auto"/>
        <w:right w:val="none" w:sz="0" w:space="0" w:color="auto"/>
      </w:divBdr>
    </w:div>
    <w:div w:id="466243808">
      <w:bodyDiv w:val="1"/>
      <w:marLeft w:val="0"/>
      <w:marRight w:val="0"/>
      <w:marTop w:val="0"/>
      <w:marBottom w:val="0"/>
      <w:divBdr>
        <w:top w:val="none" w:sz="0" w:space="0" w:color="auto"/>
        <w:left w:val="none" w:sz="0" w:space="0" w:color="auto"/>
        <w:bottom w:val="none" w:sz="0" w:space="0" w:color="auto"/>
        <w:right w:val="none" w:sz="0" w:space="0" w:color="auto"/>
      </w:divBdr>
    </w:div>
    <w:div w:id="473957675">
      <w:bodyDiv w:val="1"/>
      <w:marLeft w:val="0"/>
      <w:marRight w:val="0"/>
      <w:marTop w:val="0"/>
      <w:marBottom w:val="0"/>
      <w:divBdr>
        <w:top w:val="none" w:sz="0" w:space="0" w:color="auto"/>
        <w:left w:val="none" w:sz="0" w:space="0" w:color="auto"/>
        <w:bottom w:val="none" w:sz="0" w:space="0" w:color="auto"/>
        <w:right w:val="none" w:sz="0" w:space="0" w:color="auto"/>
      </w:divBdr>
      <w:divsChild>
        <w:div w:id="1784694312">
          <w:marLeft w:val="480"/>
          <w:marRight w:val="0"/>
          <w:marTop w:val="0"/>
          <w:marBottom w:val="0"/>
          <w:divBdr>
            <w:top w:val="none" w:sz="0" w:space="0" w:color="auto"/>
            <w:left w:val="none" w:sz="0" w:space="0" w:color="auto"/>
            <w:bottom w:val="none" w:sz="0" w:space="0" w:color="auto"/>
            <w:right w:val="none" w:sz="0" w:space="0" w:color="auto"/>
          </w:divBdr>
          <w:divsChild>
            <w:div w:id="209004675">
              <w:marLeft w:val="0"/>
              <w:marRight w:val="0"/>
              <w:marTop w:val="0"/>
              <w:marBottom w:val="0"/>
              <w:divBdr>
                <w:top w:val="none" w:sz="0" w:space="0" w:color="auto"/>
                <w:left w:val="none" w:sz="0" w:space="0" w:color="auto"/>
                <w:bottom w:val="none" w:sz="0" w:space="0" w:color="auto"/>
                <w:right w:val="none" w:sz="0" w:space="0" w:color="auto"/>
              </w:divBdr>
            </w:div>
            <w:div w:id="245264910">
              <w:marLeft w:val="0"/>
              <w:marRight w:val="0"/>
              <w:marTop w:val="0"/>
              <w:marBottom w:val="0"/>
              <w:divBdr>
                <w:top w:val="none" w:sz="0" w:space="0" w:color="auto"/>
                <w:left w:val="none" w:sz="0" w:space="0" w:color="auto"/>
                <w:bottom w:val="none" w:sz="0" w:space="0" w:color="auto"/>
                <w:right w:val="none" w:sz="0" w:space="0" w:color="auto"/>
              </w:divBdr>
            </w:div>
            <w:div w:id="252931139">
              <w:marLeft w:val="0"/>
              <w:marRight w:val="0"/>
              <w:marTop w:val="0"/>
              <w:marBottom w:val="0"/>
              <w:divBdr>
                <w:top w:val="none" w:sz="0" w:space="0" w:color="auto"/>
                <w:left w:val="none" w:sz="0" w:space="0" w:color="auto"/>
                <w:bottom w:val="none" w:sz="0" w:space="0" w:color="auto"/>
                <w:right w:val="none" w:sz="0" w:space="0" w:color="auto"/>
              </w:divBdr>
            </w:div>
            <w:div w:id="551045206">
              <w:marLeft w:val="0"/>
              <w:marRight w:val="0"/>
              <w:marTop w:val="0"/>
              <w:marBottom w:val="0"/>
              <w:divBdr>
                <w:top w:val="none" w:sz="0" w:space="0" w:color="auto"/>
                <w:left w:val="none" w:sz="0" w:space="0" w:color="auto"/>
                <w:bottom w:val="none" w:sz="0" w:space="0" w:color="auto"/>
                <w:right w:val="none" w:sz="0" w:space="0" w:color="auto"/>
              </w:divBdr>
            </w:div>
            <w:div w:id="923802710">
              <w:marLeft w:val="0"/>
              <w:marRight w:val="0"/>
              <w:marTop w:val="0"/>
              <w:marBottom w:val="0"/>
              <w:divBdr>
                <w:top w:val="none" w:sz="0" w:space="0" w:color="auto"/>
                <w:left w:val="none" w:sz="0" w:space="0" w:color="auto"/>
                <w:bottom w:val="none" w:sz="0" w:space="0" w:color="auto"/>
                <w:right w:val="none" w:sz="0" w:space="0" w:color="auto"/>
              </w:divBdr>
            </w:div>
            <w:div w:id="975373650">
              <w:marLeft w:val="0"/>
              <w:marRight w:val="0"/>
              <w:marTop w:val="0"/>
              <w:marBottom w:val="0"/>
              <w:divBdr>
                <w:top w:val="none" w:sz="0" w:space="0" w:color="auto"/>
                <w:left w:val="none" w:sz="0" w:space="0" w:color="auto"/>
                <w:bottom w:val="none" w:sz="0" w:space="0" w:color="auto"/>
                <w:right w:val="none" w:sz="0" w:space="0" w:color="auto"/>
              </w:divBdr>
            </w:div>
            <w:div w:id="978997421">
              <w:marLeft w:val="0"/>
              <w:marRight w:val="0"/>
              <w:marTop w:val="0"/>
              <w:marBottom w:val="0"/>
              <w:divBdr>
                <w:top w:val="none" w:sz="0" w:space="0" w:color="auto"/>
                <w:left w:val="none" w:sz="0" w:space="0" w:color="auto"/>
                <w:bottom w:val="none" w:sz="0" w:space="0" w:color="auto"/>
                <w:right w:val="none" w:sz="0" w:space="0" w:color="auto"/>
              </w:divBdr>
            </w:div>
            <w:div w:id="120208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3992">
      <w:bodyDiv w:val="1"/>
      <w:marLeft w:val="0"/>
      <w:marRight w:val="0"/>
      <w:marTop w:val="0"/>
      <w:marBottom w:val="0"/>
      <w:divBdr>
        <w:top w:val="none" w:sz="0" w:space="0" w:color="auto"/>
        <w:left w:val="none" w:sz="0" w:space="0" w:color="auto"/>
        <w:bottom w:val="none" w:sz="0" w:space="0" w:color="auto"/>
        <w:right w:val="none" w:sz="0" w:space="0" w:color="auto"/>
      </w:divBdr>
      <w:divsChild>
        <w:div w:id="1375348983">
          <w:marLeft w:val="480"/>
          <w:marRight w:val="0"/>
          <w:marTop w:val="0"/>
          <w:marBottom w:val="0"/>
          <w:divBdr>
            <w:top w:val="none" w:sz="0" w:space="0" w:color="auto"/>
            <w:left w:val="none" w:sz="0" w:space="0" w:color="auto"/>
            <w:bottom w:val="none" w:sz="0" w:space="0" w:color="auto"/>
            <w:right w:val="none" w:sz="0" w:space="0" w:color="auto"/>
          </w:divBdr>
          <w:divsChild>
            <w:div w:id="10341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81644">
      <w:bodyDiv w:val="1"/>
      <w:marLeft w:val="0"/>
      <w:marRight w:val="0"/>
      <w:marTop w:val="0"/>
      <w:marBottom w:val="0"/>
      <w:divBdr>
        <w:top w:val="none" w:sz="0" w:space="0" w:color="auto"/>
        <w:left w:val="none" w:sz="0" w:space="0" w:color="auto"/>
        <w:bottom w:val="none" w:sz="0" w:space="0" w:color="auto"/>
        <w:right w:val="none" w:sz="0" w:space="0" w:color="auto"/>
      </w:divBdr>
    </w:div>
    <w:div w:id="524099115">
      <w:bodyDiv w:val="1"/>
      <w:marLeft w:val="0"/>
      <w:marRight w:val="0"/>
      <w:marTop w:val="0"/>
      <w:marBottom w:val="0"/>
      <w:divBdr>
        <w:top w:val="none" w:sz="0" w:space="0" w:color="auto"/>
        <w:left w:val="none" w:sz="0" w:space="0" w:color="auto"/>
        <w:bottom w:val="none" w:sz="0" w:space="0" w:color="auto"/>
        <w:right w:val="none" w:sz="0" w:space="0" w:color="auto"/>
      </w:divBdr>
      <w:divsChild>
        <w:div w:id="674070007">
          <w:marLeft w:val="480"/>
          <w:marRight w:val="0"/>
          <w:marTop w:val="0"/>
          <w:marBottom w:val="0"/>
          <w:divBdr>
            <w:top w:val="none" w:sz="0" w:space="0" w:color="auto"/>
            <w:left w:val="none" w:sz="0" w:space="0" w:color="auto"/>
            <w:bottom w:val="none" w:sz="0" w:space="0" w:color="auto"/>
            <w:right w:val="none" w:sz="0" w:space="0" w:color="auto"/>
          </w:divBdr>
          <w:divsChild>
            <w:div w:id="358093723">
              <w:marLeft w:val="0"/>
              <w:marRight w:val="0"/>
              <w:marTop w:val="0"/>
              <w:marBottom w:val="0"/>
              <w:divBdr>
                <w:top w:val="none" w:sz="0" w:space="0" w:color="auto"/>
                <w:left w:val="none" w:sz="0" w:space="0" w:color="auto"/>
                <w:bottom w:val="none" w:sz="0" w:space="0" w:color="auto"/>
                <w:right w:val="none" w:sz="0" w:space="0" w:color="auto"/>
              </w:divBdr>
            </w:div>
            <w:div w:id="414404057">
              <w:marLeft w:val="0"/>
              <w:marRight w:val="0"/>
              <w:marTop w:val="0"/>
              <w:marBottom w:val="0"/>
              <w:divBdr>
                <w:top w:val="none" w:sz="0" w:space="0" w:color="auto"/>
                <w:left w:val="none" w:sz="0" w:space="0" w:color="auto"/>
                <w:bottom w:val="none" w:sz="0" w:space="0" w:color="auto"/>
                <w:right w:val="none" w:sz="0" w:space="0" w:color="auto"/>
              </w:divBdr>
            </w:div>
            <w:div w:id="446890630">
              <w:marLeft w:val="0"/>
              <w:marRight w:val="0"/>
              <w:marTop w:val="0"/>
              <w:marBottom w:val="0"/>
              <w:divBdr>
                <w:top w:val="none" w:sz="0" w:space="0" w:color="auto"/>
                <w:left w:val="none" w:sz="0" w:space="0" w:color="auto"/>
                <w:bottom w:val="none" w:sz="0" w:space="0" w:color="auto"/>
                <w:right w:val="none" w:sz="0" w:space="0" w:color="auto"/>
              </w:divBdr>
            </w:div>
            <w:div w:id="603612318">
              <w:marLeft w:val="0"/>
              <w:marRight w:val="0"/>
              <w:marTop w:val="0"/>
              <w:marBottom w:val="0"/>
              <w:divBdr>
                <w:top w:val="none" w:sz="0" w:space="0" w:color="auto"/>
                <w:left w:val="none" w:sz="0" w:space="0" w:color="auto"/>
                <w:bottom w:val="none" w:sz="0" w:space="0" w:color="auto"/>
                <w:right w:val="none" w:sz="0" w:space="0" w:color="auto"/>
              </w:divBdr>
            </w:div>
            <w:div w:id="677469807">
              <w:marLeft w:val="0"/>
              <w:marRight w:val="0"/>
              <w:marTop w:val="0"/>
              <w:marBottom w:val="0"/>
              <w:divBdr>
                <w:top w:val="none" w:sz="0" w:space="0" w:color="auto"/>
                <w:left w:val="none" w:sz="0" w:space="0" w:color="auto"/>
                <w:bottom w:val="none" w:sz="0" w:space="0" w:color="auto"/>
                <w:right w:val="none" w:sz="0" w:space="0" w:color="auto"/>
              </w:divBdr>
            </w:div>
            <w:div w:id="1266035035">
              <w:marLeft w:val="0"/>
              <w:marRight w:val="0"/>
              <w:marTop w:val="0"/>
              <w:marBottom w:val="0"/>
              <w:divBdr>
                <w:top w:val="none" w:sz="0" w:space="0" w:color="auto"/>
                <w:left w:val="none" w:sz="0" w:space="0" w:color="auto"/>
                <w:bottom w:val="none" w:sz="0" w:space="0" w:color="auto"/>
                <w:right w:val="none" w:sz="0" w:space="0" w:color="auto"/>
              </w:divBdr>
            </w:div>
            <w:div w:id="1562059519">
              <w:marLeft w:val="0"/>
              <w:marRight w:val="0"/>
              <w:marTop w:val="0"/>
              <w:marBottom w:val="0"/>
              <w:divBdr>
                <w:top w:val="none" w:sz="0" w:space="0" w:color="auto"/>
                <w:left w:val="none" w:sz="0" w:space="0" w:color="auto"/>
                <w:bottom w:val="none" w:sz="0" w:space="0" w:color="auto"/>
                <w:right w:val="none" w:sz="0" w:space="0" w:color="auto"/>
              </w:divBdr>
            </w:div>
            <w:div w:id="212306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5280">
      <w:bodyDiv w:val="1"/>
      <w:marLeft w:val="0"/>
      <w:marRight w:val="0"/>
      <w:marTop w:val="0"/>
      <w:marBottom w:val="0"/>
      <w:divBdr>
        <w:top w:val="none" w:sz="0" w:space="0" w:color="auto"/>
        <w:left w:val="none" w:sz="0" w:space="0" w:color="auto"/>
        <w:bottom w:val="none" w:sz="0" w:space="0" w:color="auto"/>
        <w:right w:val="none" w:sz="0" w:space="0" w:color="auto"/>
      </w:divBdr>
    </w:div>
    <w:div w:id="565267696">
      <w:bodyDiv w:val="1"/>
      <w:marLeft w:val="0"/>
      <w:marRight w:val="0"/>
      <w:marTop w:val="0"/>
      <w:marBottom w:val="0"/>
      <w:divBdr>
        <w:top w:val="none" w:sz="0" w:space="0" w:color="auto"/>
        <w:left w:val="none" w:sz="0" w:space="0" w:color="auto"/>
        <w:bottom w:val="none" w:sz="0" w:space="0" w:color="auto"/>
        <w:right w:val="none" w:sz="0" w:space="0" w:color="auto"/>
      </w:divBdr>
    </w:div>
    <w:div w:id="670527576">
      <w:bodyDiv w:val="1"/>
      <w:marLeft w:val="0"/>
      <w:marRight w:val="0"/>
      <w:marTop w:val="0"/>
      <w:marBottom w:val="0"/>
      <w:divBdr>
        <w:top w:val="none" w:sz="0" w:space="0" w:color="auto"/>
        <w:left w:val="none" w:sz="0" w:space="0" w:color="auto"/>
        <w:bottom w:val="none" w:sz="0" w:space="0" w:color="auto"/>
        <w:right w:val="none" w:sz="0" w:space="0" w:color="auto"/>
      </w:divBdr>
    </w:div>
    <w:div w:id="693386959">
      <w:bodyDiv w:val="1"/>
      <w:marLeft w:val="0"/>
      <w:marRight w:val="0"/>
      <w:marTop w:val="0"/>
      <w:marBottom w:val="0"/>
      <w:divBdr>
        <w:top w:val="none" w:sz="0" w:space="0" w:color="auto"/>
        <w:left w:val="none" w:sz="0" w:space="0" w:color="auto"/>
        <w:bottom w:val="none" w:sz="0" w:space="0" w:color="auto"/>
        <w:right w:val="none" w:sz="0" w:space="0" w:color="auto"/>
      </w:divBdr>
    </w:div>
    <w:div w:id="695158928">
      <w:bodyDiv w:val="1"/>
      <w:marLeft w:val="0"/>
      <w:marRight w:val="0"/>
      <w:marTop w:val="0"/>
      <w:marBottom w:val="0"/>
      <w:divBdr>
        <w:top w:val="none" w:sz="0" w:space="0" w:color="auto"/>
        <w:left w:val="none" w:sz="0" w:space="0" w:color="auto"/>
        <w:bottom w:val="none" w:sz="0" w:space="0" w:color="auto"/>
        <w:right w:val="none" w:sz="0" w:space="0" w:color="auto"/>
      </w:divBdr>
      <w:divsChild>
        <w:div w:id="21787000">
          <w:marLeft w:val="480"/>
          <w:marRight w:val="0"/>
          <w:marTop w:val="0"/>
          <w:marBottom w:val="0"/>
          <w:divBdr>
            <w:top w:val="none" w:sz="0" w:space="0" w:color="auto"/>
            <w:left w:val="none" w:sz="0" w:space="0" w:color="auto"/>
            <w:bottom w:val="none" w:sz="0" w:space="0" w:color="auto"/>
            <w:right w:val="none" w:sz="0" w:space="0" w:color="auto"/>
          </w:divBdr>
          <w:divsChild>
            <w:div w:id="1632245364">
              <w:marLeft w:val="0"/>
              <w:marRight w:val="0"/>
              <w:marTop w:val="0"/>
              <w:marBottom w:val="0"/>
              <w:divBdr>
                <w:top w:val="none" w:sz="0" w:space="0" w:color="auto"/>
                <w:left w:val="none" w:sz="0" w:space="0" w:color="auto"/>
                <w:bottom w:val="none" w:sz="0" w:space="0" w:color="auto"/>
                <w:right w:val="none" w:sz="0" w:space="0" w:color="auto"/>
              </w:divBdr>
            </w:div>
            <w:div w:id="17925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84772">
      <w:bodyDiv w:val="1"/>
      <w:marLeft w:val="0"/>
      <w:marRight w:val="0"/>
      <w:marTop w:val="0"/>
      <w:marBottom w:val="0"/>
      <w:divBdr>
        <w:top w:val="none" w:sz="0" w:space="0" w:color="auto"/>
        <w:left w:val="none" w:sz="0" w:space="0" w:color="auto"/>
        <w:bottom w:val="none" w:sz="0" w:space="0" w:color="auto"/>
        <w:right w:val="none" w:sz="0" w:space="0" w:color="auto"/>
      </w:divBdr>
      <w:divsChild>
        <w:div w:id="303316891">
          <w:marLeft w:val="480"/>
          <w:marRight w:val="0"/>
          <w:marTop w:val="0"/>
          <w:marBottom w:val="0"/>
          <w:divBdr>
            <w:top w:val="none" w:sz="0" w:space="0" w:color="auto"/>
            <w:left w:val="none" w:sz="0" w:space="0" w:color="auto"/>
            <w:bottom w:val="none" w:sz="0" w:space="0" w:color="auto"/>
            <w:right w:val="none" w:sz="0" w:space="0" w:color="auto"/>
          </w:divBdr>
          <w:divsChild>
            <w:div w:id="141685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1073">
      <w:bodyDiv w:val="1"/>
      <w:marLeft w:val="0"/>
      <w:marRight w:val="0"/>
      <w:marTop w:val="0"/>
      <w:marBottom w:val="0"/>
      <w:divBdr>
        <w:top w:val="none" w:sz="0" w:space="0" w:color="auto"/>
        <w:left w:val="none" w:sz="0" w:space="0" w:color="auto"/>
        <w:bottom w:val="none" w:sz="0" w:space="0" w:color="auto"/>
        <w:right w:val="none" w:sz="0" w:space="0" w:color="auto"/>
      </w:divBdr>
    </w:div>
    <w:div w:id="709380930">
      <w:bodyDiv w:val="1"/>
      <w:marLeft w:val="0"/>
      <w:marRight w:val="0"/>
      <w:marTop w:val="0"/>
      <w:marBottom w:val="0"/>
      <w:divBdr>
        <w:top w:val="none" w:sz="0" w:space="0" w:color="auto"/>
        <w:left w:val="none" w:sz="0" w:space="0" w:color="auto"/>
        <w:bottom w:val="none" w:sz="0" w:space="0" w:color="auto"/>
        <w:right w:val="none" w:sz="0" w:space="0" w:color="auto"/>
      </w:divBdr>
    </w:div>
    <w:div w:id="715080244">
      <w:bodyDiv w:val="1"/>
      <w:marLeft w:val="0"/>
      <w:marRight w:val="0"/>
      <w:marTop w:val="0"/>
      <w:marBottom w:val="0"/>
      <w:divBdr>
        <w:top w:val="none" w:sz="0" w:space="0" w:color="auto"/>
        <w:left w:val="none" w:sz="0" w:space="0" w:color="auto"/>
        <w:bottom w:val="none" w:sz="0" w:space="0" w:color="auto"/>
        <w:right w:val="none" w:sz="0" w:space="0" w:color="auto"/>
      </w:divBdr>
    </w:div>
    <w:div w:id="720976586">
      <w:bodyDiv w:val="1"/>
      <w:marLeft w:val="0"/>
      <w:marRight w:val="0"/>
      <w:marTop w:val="0"/>
      <w:marBottom w:val="0"/>
      <w:divBdr>
        <w:top w:val="none" w:sz="0" w:space="0" w:color="auto"/>
        <w:left w:val="none" w:sz="0" w:space="0" w:color="auto"/>
        <w:bottom w:val="none" w:sz="0" w:space="0" w:color="auto"/>
        <w:right w:val="none" w:sz="0" w:space="0" w:color="auto"/>
      </w:divBdr>
    </w:div>
    <w:div w:id="729503892">
      <w:bodyDiv w:val="1"/>
      <w:marLeft w:val="0"/>
      <w:marRight w:val="0"/>
      <w:marTop w:val="0"/>
      <w:marBottom w:val="0"/>
      <w:divBdr>
        <w:top w:val="none" w:sz="0" w:space="0" w:color="auto"/>
        <w:left w:val="none" w:sz="0" w:space="0" w:color="auto"/>
        <w:bottom w:val="none" w:sz="0" w:space="0" w:color="auto"/>
        <w:right w:val="none" w:sz="0" w:space="0" w:color="auto"/>
      </w:divBdr>
    </w:div>
    <w:div w:id="753011789">
      <w:bodyDiv w:val="1"/>
      <w:marLeft w:val="0"/>
      <w:marRight w:val="0"/>
      <w:marTop w:val="0"/>
      <w:marBottom w:val="0"/>
      <w:divBdr>
        <w:top w:val="none" w:sz="0" w:space="0" w:color="auto"/>
        <w:left w:val="none" w:sz="0" w:space="0" w:color="auto"/>
        <w:bottom w:val="none" w:sz="0" w:space="0" w:color="auto"/>
        <w:right w:val="none" w:sz="0" w:space="0" w:color="auto"/>
      </w:divBdr>
    </w:div>
    <w:div w:id="773938118">
      <w:bodyDiv w:val="1"/>
      <w:marLeft w:val="0"/>
      <w:marRight w:val="0"/>
      <w:marTop w:val="0"/>
      <w:marBottom w:val="0"/>
      <w:divBdr>
        <w:top w:val="none" w:sz="0" w:space="0" w:color="auto"/>
        <w:left w:val="none" w:sz="0" w:space="0" w:color="auto"/>
        <w:bottom w:val="none" w:sz="0" w:space="0" w:color="auto"/>
        <w:right w:val="none" w:sz="0" w:space="0" w:color="auto"/>
      </w:divBdr>
      <w:divsChild>
        <w:div w:id="1398628063">
          <w:marLeft w:val="480"/>
          <w:marRight w:val="0"/>
          <w:marTop w:val="0"/>
          <w:marBottom w:val="0"/>
          <w:divBdr>
            <w:top w:val="none" w:sz="0" w:space="0" w:color="auto"/>
            <w:left w:val="none" w:sz="0" w:space="0" w:color="auto"/>
            <w:bottom w:val="none" w:sz="0" w:space="0" w:color="auto"/>
            <w:right w:val="none" w:sz="0" w:space="0" w:color="auto"/>
          </w:divBdr>
          <w:divsChild>
            <w:div w:id="198562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4968">
      <w:bodyDiv w:val="1"/>
      <w:marLeft w:val="0"/>
      <w:marRight w:val="0"/>
      <w:marTop w:val="0"/>
      <w:marBottom w:val="0"/>
      <w:divBdr>
        <w:top w:val="none" w:sz="0" w:space="0" w:color="auto"/>
        <w:left w:val="none" w:sz="0" w:space="0" w:color="auto"/>
        <w:bottom w:val="none" w:sz="0" w:space="0" w:color="auto"/>
        <w:right w:val="none" w:sz="0" w:space="0" w:color="auto"/>
      </w:divBdr>
    </w:div>
    <w:div w:id="962615331">
      <w:bodyDiv w:val="1"/>
      <w:marLeft w:val="0"/>
      <w:marRight w:val="0"/>
      <w:marTop w:val="0"/>
      <w:marBottom w:val="0"/>
      <w:divBdr>
        <w:top w:val="none" w:sz="0" w:space="0" w:color="auto"/>
        <w:left w:val="none" w:sz="0" w:space="0" w:color="auto"/>
        <w:bottom w:val="none" w:sz="0" w:space="0" w:color="auto"/>
        <w:right w:val="none" w:sz="0" w:space="0" w:color="auto"/>
      </w:divBdr>
      <w:divsChild>
        <w:div w:id="244922599">
          <w:marLeft w:val="360"/>
          <w:marRight w:val="0"/>
          <w:marTop w:val="200"/>
          <w:marBottom w:val="0"/>
          <w:divBdr>
            <w:top w:val="none" w:sz="0" w:space="0" w:color="auto"/>
            <w:left w:val="none" w:sz="0" w:space="0" w:color="auto"/>
            <w:bottom w:val="none" w:sz="0" w:space="0" w:color="auto"/>
            <w:right w:val="none" w:sz="0" w:space="0" w:color="auto"/>
          </w:divBdr>
        </w:div>
        <w:div w:id="333142617">
          <w:marLeft w:val="360"/>
          <w:marRight w:val="0"/>
          <w:marTop w:val="200"/>
          <w:marBottom w:val="0"/>
          <w:divBdr>
            <w:top w:val="none" w:sz="0" w:space="0" w:color="auto"/>
            <w:left w:val="none" w:sz="0" w:space="0" w:color="auto"/>
            <w:bottom w:val="none" w:sz="0" w:space="0" w:color="auto"/>
            <w:right w:val="none" w:sz="0" w:space="0" w:color="auto"/>
          </w:divBdr>
        </w:div>
        <w:div w:id="1831365091">
          <w:marLeft w:val="360"/>
          <w:marRight w:val="0"/>
          <w:marTop w:val="200"/>
          <w:marBottom w:val="0"/>
          <w:divBdr>
            <w:top w:val="none" w:sz="0" w:space="0" w:color="auto"/>
            <w:left w:val="none" w:sz="0" w:space="0" w:color="auto"/>
            <w:bottom w:val="none" w:sz="0" w:space="0" w:color="auto"/>
            <w:right w:val="none" w:sz="0" w:space="0" w:color="auto"/>
          </w:divBdr>
        </w:div>
        <w:div w:id="2046757597">
          <w:marLeft w:val="360"/>
          <w:marRight w:val="0"/>
          <w:marTop w:val="200"/>
          <w:marBottom w:val="0"/>
          <w:divBdr>
            <w:top w:val="none" w:sz="0" w:space="0" w:color="auto"/>
            <w:left w:val="none" w:sz="0" w:space="0" w:color="auto"/>
            <w:bottom w:val="none" w:sz="0" w:space="0" w:color="auto"/>
            <w:right w:val="none" w:sz="0" w:space="0" w:color="auto"/>
          </w:divBdr>
        </w:div>
      </w:divsChild>
    </w:div>
    <w:div w:id="969869673">
      <w:bodyDiv w:val="1"/>
      <w:marLeft w:val="0"/>
      <w:marRight w:val="0"/>
      <w:marTop w:val="0"/>
      <w:marBottom w:val="0"/>
      <w:divBdr>
        <w:top w:val="none" w:sz="0" w:space="0" w:color="auto"/>
        <w:left w:val="none" w:sz="0" w:space="0" w:color="auto"/>
        <w:bottom w:val="none" w:sz="0" w:space="0" w:color="auto"/>
        <w:right w:val="none" w:sz="0" w:space="0" w:color="auto"/>
      </w:divBdr>
      <w:divsChild>
        <w:div w:id="532617356">
          <w:marLeft w:val="480"/>
          <w:marRight w:val="0"/>
          <w:marTop w:val="0"/>
          <w:marBottom w:val="0"/>
          <w:divBdr>
            <w:top w:val="none" w:sz="0" w:space="0" w:color="auto"/>
            <w:left w:val="none" w:sz="0" w:space="0" w:color="auto"/>
            <w:bottom w:val="none" w:sz="0" w:space="0" w:color="auto"/>
            <w:right w:val="none" w:sz="0" w:space="0" w:color="auto"/>
          </w:divBdr>
          <w:divsChild>
            <w:div w:id="78646819">
              <w:marLeft w:val="0"/>
              <w:marRight w:val="0"/>
              <w:marTop w:val="0"/>
              <w:marBottom w:val="0"/>
              <w:divBdr>
                <w:top w:val="none" w:sz="0" w:space="0" w:color="auto"/>
                <w:left w:val="none" w:sz="0" w:space="0" w:color="auto"/>
                <w:bottom w:val="none" w:sz="0" w:space="0" w:color="auto"/>
                <w:right w:val="none" w:sz="0" w:space="0" w:color="auto"/>
              </w:divBdr>
            </w:div>
            <w:div w:id="241528473">
              <w:marLeft w:val="0"/>
              <w:marRight w:val="0"/>
              <w:marTop w:val="0"/>
              <w:marBottom w:val="0"/>
              <w:divBdr>
                <w:top w:val="none" w:sz="0" w:space="0" w:color="auto"/>
                <w:left w:val="none" w:sz="0" w:space="0" w:color="auto"/>
                <w:bottom w:val="none" w:sz="0" w:space="0" w:color="auto"/>
                <w:right w:val="none" w:sz="0" w:space="0" w:color="auto"/>
              </w:divBdr>
            </w:div>
            <w:div w:id="321467453">
              <w:marLeft w:val="0"/>
              <w:marRight w:val="0"/>
              <w:marTop w:val="0"/>
              <w:marBottom w:val="0"/>
              <w:divBdr>
                <w:top w:val="none" w:sz="0" w:space="0" w:color="auto"/>
                <w:left w:val="none" w:sz="0" w:space="0" w:color="auto"/>
                <w:bottom w:val="none" w:sz="0" w:space="0" w:color="auto"/>
                <w:right w:val="none" w:sz="0" w:space="0" w:color="auto"/>
              </w:divBdr>
            </w:div>
            <w:div w:id="855121058">
              <w:marLeft w:val="0"/>
              <w:marRight w:val="0"/>
              <w:marTop w:val="0"/>
              <w:marBottom w:val="0"/>
              <w:divBdr>
                <w:top w:val="none" w:sz="0" w:space="0" w:color="auto"/>
                <w:left w:val="none" w:sz="0" w:space="0" w:color="auto"/>
                <w:bottom w:val="none" w:sz="0" w:space="0" w:color="auto"/>
                <w:right w:val="none" w:sz="0" w:space="0" w:color="auto"/>
              </w:divBdr>
            </w:div>
            <w:div w:id="1071124894">
              <w:marLeft w:val="0"/>
              <w:marRight w:val="0"/>
              <w:marTop w:val="0"/>
              <w:marBottom w:val="0"/>
              <w:divBdr>
                <w:top w:val="none" w:sz="0" w:space="0" w:color="auto"/>
                <w:left w:val="none" w:sz="0" w:space="0" w:color="auto"/>
                <w:bottom w:val="none" w:sz="0" w:space="0" w:color="auto"/>
                <w:right w:val="none" w:sz="0" w:space="0" w:color="auto"/>
              </w:divBdr>
            </w:div>
            <w:div w:id="1427726610">
              <w:marLeft w:val="0"/>
              <w:marRight w:val="0"/>
              <w:marTop w:val="0"/>
              <w:marBottom w:val="0"/>
              <w:divBdr>
                <w:top w:val="none" w:sz="0" w:space="0" w:color="auto"/>
                <w:left w:val="none" w:sz="0" w:space="0" w:color="auto"/>
                <w:bottom w:val="none" w:sz="0" w:space="0" w:color="auto"/>
                <w:right w:val="none" w:sz="0" w:space="0" w:color="auto"/>
              </w:divBdr>
            </w:div>
            <w:div w:id="1527211258">
              <w:marLeft w:val="0"/>
              <w:marRight w:val="0"/>
              <w:marTop w:val="0"/>
              <w:marBottom w:val="0"/>
              <w:divBdr>
                <w:top w:val="none" w:sz="0" w:space="0" w:color="auto"/>
                <w:left w:val="none" w:sz="0" w:space="0" w:color="auto"/>
                <w:bottom w:val="none" w:sz="0" w:space="0" w:color="auto"/>
                <w:right w:val="none" w:sz="0" w:space="0" w:color="auto"/>
              </w:divBdr>
            </w:div>
            <w:div w:id="184431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78236">
      <w:bodyDiv w:val="1"/>
      <w:marLeft w:val="0"/>
      <w:marRight w:val="0"/>
      <w:marTop w:val="0"/>
      <w:marBottom w:val="0"/>
      <w:divBdr>
        <w:top w:val="none" w:sz="0" w:space="0" w:color="auto"/>
        <w:left w:val="none" w:sz="0" w:space="0" w:color="auto"/>
        <w:bottom w:val="none" w:sz="0" w:space="0" w:color="auto"/>
        <w:right w:val="none" w:sz="0" w:space="0" w:color="auto"/>
      </w:divBdr>
      <w:divsChild>
        <w:div w:id="562525120">
          <w:marLeft w:val="480"/>
          <w:marRight w:val="0"/>
          <w:marTop w:val="0"/>
          <w:marBottom w:val="0"/>
          <w:divBdr>
            <w:top w:val="none" w:sz="0" w:space="0" w:color="auto"/>
            <w:left w:val="none" w:sz="0" w:space="0" w:color="auto"/>
            <w:bottom w:val="none" w:sz="0" w:space="0" w:color="auto"/>
            <w:right w:val="none" w:sz="0" w:space="0" w:color="auto"/>
          </w:divBdr>
          <w:divsChild>
            <w:div w:id="479543244">
              <w:marLeft w:val="0"/>
              <w:marRight w:val="0"/>
              <w:marTop w:val="0"/>
              <w:marBottom w:val="0"/>
              <w:divBdr>
                <w:top w:val="none" w:sz="0" w:space="0" w:color="auto"/>
                <w:left w:val="none" w:sz="0" w:space="0" w:color="auto"/>
                <w:bottom w:val="none" w:sz="0" w:space="0" w:color="auto"/>
                <w:right w:val="none" w:sz="0" w:space="0" w:color="auto"/>
              </w:divBdr>
            </w:div>
            <w:div w:id="19444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3938">
      <w:bodyDiv w:val="1"/>
      <w:marLeft w:val="0"/>
      <w:marRight w:val="0"/>
      <w:marTop w:val="0"/>
      <w:marBottom w:val="0"/>
      <w:divBdr>
        <w:top w:val="none" w:sz="0" w:space="0" w:color="auto"/>
        <w:left w:val="none" w:sz="0" w:space="0" w:color="auto"/>
        <w:bottom w:val="none" w:sz="0" w:space="0" w:color="auto"/>
        <w:right w:val="none" w:sz="0" w:space="0" w:color="auto"/>
      </w:divBdr>
    </w:div>
    <w:div w:id="1072238391">
      <w:bodyDiv w:val="1"/>
      <w:marLeft w:val="0"/>
      <w:marRight w:val="0"/>
      <w:marTop w:val="0"/>
      <w:marBottom w:val="0"/>
      <w:divBdr>
        <w:top w:val="none" w:sz="0" w:space="0" w:color="auto"/>
        <w:left w:val="none" w:sz="0" w:space="0" w:color="auto"/>
        <w:bottom w:val="none" w:sz="0" w:space="0" w:color="auto"/>
        <w:right w:val="none" w:sz="0" w:space="0" w:color="auto"/>
      </w:divBdr>
      <w:divsChild>
        <w:div w:id="880752732">
          <w:marLeft w:val="480"/>
          <w:marRight w:val="0"/>
          <w:marTop w:val="0"/>
          <w:marBottom w:val="0"/>
          <w:divBdr>
            <w:top w:val="none" w:sz="0" w:space="0" w:color="auto"/>
            <w:left w:val="none" w:sz="0" w:space="0" w:color="auto"/>
            <w:bottom w:val="none" w:sz="0" w:space="0" w:color="auto"/>
            <w:right w:val="none" w:sz="0" w:space="0" w:color="auto"/>
          </w:divBdr>
          <w:divsChild>
            <w:div w:id="17932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3271">
      <w:bodyDiv w:val="1"/>
      <w:marLeft w:val="0"/>
      <w:marRight w:val="0"/>
      <w:marTop w:val="0"/>
      <w:marBottom w:val="0"/>
      <w:divBdr>
        <w:top w:val="none" w:sz="0" w:space="0" w:color="auto"/>
        <w:left w:val="none" w:sz="0" w:space="0" w:color="auto"/>
        <w:bottom w:val="none" w:sz="0" w:space="0" w:color="auto"/>
        <w:right w:val="none" w:sz="0" w:space="0" w:color="auto"/>
      </w:divBdr>
    </w:div>
    <w:div w:id="1110049604">
      <w:bodyDiv w:val="1"/>
      <w:marLeft w:val="0"/>
      <w:marRight w:val="0"/>
      <w:marTop w:val="0"/>
      <w:marBottom w:val="0"/>
      <w:divBdr>
        <w:top w:val="none" w:sz="0" w:space="0" w:color="auto"/>
        <w:left w:val="none" w:sz="0" w:space="0" w:color="auto"/>
        <w:bottom w:val="none" w:sz="0" w:space="0" w:color="auto"/>
        <w:right w:val="none" w:sz="0" w:space="0" w:color="auto"/>
      </w:divBdr>
      <w:divsChild>
        <w:div w:id="1520198708">
          <w:marLeft w:val="480"/>
          <w:marRight w:val="0"/>
          <w:marTop w:val="0"/>
          <w:marBottom w:val="0"/>
          <w:divBdr>
            <w:top w:val="none" w:sz="0" w:space="0" w:color="auto"/>
            <w:left w:val="none" w:sz="0" w:space="0" w:color="auto"/>
            <w:bottom w:val="none" w:sz="0" w:space="0" w:color="auto"/>
            <w:right w:val="none" w:sz="0" w:space="0" w:color="auto"/>
          </w:divBdr>
          <w:divsChild>
            <w:div w:id="14576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9543">
      <w:bodyDiv w:val="1"/>
      <w:marLeft w:val="0"/>
      <w:marRight w:val="0"/>
      <w:marTop w:val="0"/>
      <w:marBottom w:val="0"/>
      <w:divBdr>
        <w:top w:val="none" w:sz="0" w:space="0" w:color="auto"/>
        <w:left w:val="none" w:sz="0" w:space="0" w:color="auto"/>
        <w:bottom w:val="none" w:sz="0" w:space="0" w:color="auto"/>
        <w:right w:val="none" w:sz="0" w:space="0" w:color="auto"/>
      </w:divBdr>
    </w:div>
    <w:div w:id="1427506144">
      <w:bodyDiv w:val="1"/>
      <w:marLeft w:val="0"/>
      <w:marRight w:val="0"/>
      <w:marTop w:val="0"/>
      <w:marBottom w:val="0"/>
      <w:divBdr>
        <w:top w:val="none" w:sz="0" w:space="0" w:color="auto"/>
        <w:left w:val="none" w:sz="0" w:space="0" w:color="auto"/>
        <w:bottom w:val="none" w:sz="0" w:space="0" w:color="auto"/>
        <w:right w:val="none" w:sz="0" w:space="0" w:color="auto"/>
      </w:divBdr>
    </w:div>
    <w:div w:id="1554459700">
      <w:bodyDiv w:val="1"/>
      <w:marLeft w:val="0"/>
      <w:marRight w:val="0"/>
      <w:marTop w:val="0"/>
      <w:marBottom w:val="0"/>
      <w:divBdr>
        <w:top w:val="none" w:sz="0" w:space="0" w:color="auto"/>
        <w:left w:val="none" w:sz="0" w:space="0" w:color="auto"/>
        <w:bottom w:val="none" w:sz="0" w:space="0" w:color="auto"/>
        <w:right w:val="none" w:sz="0" w:space="0" w:color="auto"/>
      </w:divBdr>
    </w:div>
    <w:div w:id="1596744210">
      <w:bodyDiv w:val="1"/>
      <w:marLeft w:val="0"/>
      <w:marRight w:val="0"/>
      <w:marTop w:val="0"/>
      <w:marBottom w:val="0"/>
      <w:divBdr>
        <w:top w:val="none" w:sz="0" w:space="0" w:color="auto"/>
        <w:left w:val="none" w:sz="0" w:space="0" w:color="auto"/>
        <w:bottom w:val="none" w:sz="0" w:space="0" w:color="auto"/>
        <w:right w:val="none" w:sz="0" w:space="0" w:color="auto"/>
      </w:divBdr>
    </w:div>
    <w:div w:id="1635209159">
      <w:bodyDiv w:val="1"/>
      <w:marLeft w:val="0"/>
      <w:marRight w:val="0"/>
      <w:marTop w:val="0"/>
      <w:marBottom w:val="0"/>
      <w:divBdr>
        <w:top w:val="none" w:sz="0" w:space="0" w:color="auto"/>
        <w:left w:val="none" w:sz="0" w:space="0" w:color="auto"/>
        <w:bottom w:val="none" w:sz="0" w:space="0" w:color="auto"/>
        <w:right w:val="none" w:sz="0" w:space="0" w:color="auto"/>
      </w:divBdr>
    </w:div>
    <w:div w:id="1653748771">
      <w:bodyDiv w:val="1"/>
      <w:marLeft w:val="0"/>
      <w:marRight w:val="0"/>
      <w:marTop w:val="0"/>
      <w:marBottom w:val="0"/>
      <w:divBdr>
        <w:top w:val="none" w:sz="0" w:space="0" w:color="auto"/>
        <w:left w:val="none" w:sz="0" w:space="0" w:color="auto"/>
        <w:bottom w:val="none" w:sz="0" w:space="0" w:color="auto"/>
        <w:right w:val="none" w:sz="0" w:space="0" w:color="auto"/>
      </w:divBdr>
      <w:divsChild>
        <w:div w:id="1908298750">
          <w:marLeft w:val="480"/>
          <w:marRight w:val="0"/>
          <w:marTop w:val="0"/>
          <w:marBottom w:val="0"/>
          <w:divBdr>
            <w:top w:val="none" w:sz="0" w:space="0" w:color="auto"/>
            <w:left w:val="none" w:sz="0" w:space="0" w:color="auto"/>
            <w:bottom w:val="none" w:sz="0" w:space="0" w:color="auto"/>
            <w:right w:val="none" w:sz="0" w:space="0" w:color="auto"/>
          </w:divBdr>
          <w:divsChild>
            <w:div w:id="3642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1108">
      <w:bodyDiv w:val="1"/>
      <w:marLeft w:val="0"/>
      <w:marRight w:val="0"/>
      <w:marTop w:val="0"/>
      <w:marBottom w:val="0"/>
      <w:divBdr>
        <w:top w:val="none" w:sz="0" w:space="0" w:color="auto"/>
        <w:left w:val="none" w:sz="0" w:space="0" w:color="auto"/>
        <w:bottom w:val="none" w:sz="0" w:space="0" w:color="auto"/>
        <w:right w:val="none" w:sz="0" w:space="0" w:color="auto"/>
      </w:divBdr>
      <w:divsChild>
        <w:div w:id="712996178">
          <w:marLeft w:val="480"/>
          <w:marRight w:val="0"/>
          <w:marTop w:val="0"/>
          <w:marBottom w:val="0"/>
          <w:divBdr>
            <w:top w:val="none" w:sz="0" w:space="0" w:color="auto"/>
            <w:left w:val="none" w:sz="0" w:space="0" w:color="auto"/>
            <w:bottom w:val="none" w:sz="0" w:space="0" w:color="auto"/>
            <w:right w:val="none" w:sz="0" w:space="0" w:color="auto"/>
          </w:divBdr>
          <w:divsChild>
            <w:div w:id="9553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20017">
      <w:bodyDiv w:val="1"/>
      <w:marLeft w:val="0"/>
      <w:marRight w:val="0"/>
      <w:marTop w:val="0"/>
      <w:marBottom w:val="0"/>
      <w:divBdr>
        <w:top w:val="none" w:sz="0" w:space="0" w:color="auto"/>
        <w:left w:val="none" w:sz="0" w:space="0" w:color="auto"/>
        <w:bottom w:val="none" w:sz="0" w:space="0" w:color="auto"/>
        <w:right w:val="none" w:sz="0" w:space="0" w:color="auto"/>
      </w:divBdr>
      <w:divsChild>
        <w:div w:id="1433012300">
          <w:marLeft w:val="480"/>
          <w:marRight w:val="0"/>
          <w:marTop w:val="0"/>
          <w:marBottom w:val="0"/>
          <w:divBdr>
            <w:top w:val="none" w:sz="0" w:space="0" w:color="auto"/>
            <w:left w:val="none" w:sz="0" w:space="0" w:color="auto"/>
            <w:bottom w:val="none" w:sz="0" w:space="0" w:color="auto"/>
            <w:right w:val="none" w:sz="0" w:space="0" w:color="auto"/>
          </w:divBdr>
          <w:divsChild>
            <w:div w:id="41675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5365">
      <w:bodyDiv w:val="1"/>
      <w:marLeft w:val="0"/>
      <w:marRight w:val="0"/>
      <w:marTop w:val="0"/>
      <w:marBottom w:val="0"/>
      <w:divBdr>
        <w:top w:val="none" w:sz="0" w:space="0" w:color="auto"/>
        <w:left w:val="none" w:sz="0" w:space="0" w:color="auto"/>
        <w:bottom w:val="none" w:sz="0" w:space="0" w:color="auto"/>
        <w:right w:val="none" w:sz="0" w:space="0" w:color="auto"/>
      </w:divBdr>
    </w:div>
    <w:div w:id="1905145356">
      <w:bodyDiv w:val="1"/>
      <w:marLeft w:val="0"/>
      <w:marRight w:val="0"/>
      <w:marTop w:val="0"/>
      <w:marBottom w:val="0"/>
      <w:divBdr>
        <w:top w:val="none" w:sz="0" w:space="0" w:color="auto"/>
        <w:left w:val="none" w:sz="0" w:space="0" w:color="auto"/>
        <w:bottom w:val="none" w:sz="0" w:space="0" w:color="auto"/>
        <w:right w:val="none" w:sz="0" w:space="0" w:color="auto"/>
      </w:divBdr>
      <w:divsChild>
        <w:div w:id="1052583635">
          <w:marLeft w:val="480"/>
          <w:marRight w:val="0"/>
          <w:marTop w:val="0"/>
          <w:marBottom w:val="0"/>
          <w:divBdr>
            <w:top w:val="none" w:sz="0" w:space="0" w:color="auto"/>
            <w:left w:val="none" w:sz="0" w:space="0" w:color="auto"/>
            <w:bottom w:val="none" w:sz="0" w:space="0" w:color="auto"/>
            <w:right w:val="none" w:sz="0" w:space="0" w:color="auto"/>
          </w:divBdr>
          <w:divsChild>
            <w:div w:id="18761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96485">
      <w:bodyDiv w:val="1"/>
      <w:marLeft w:val="0"/>
      <w:marRight w:val="0"/>
      <w:marTop w:val="0"/>
      <w:marBottom w:val="0"/>
      <w:divBdr>
        <w:top w:val="none" w:sz="0" w:space="0" w:color="auto"/>
        <w:left w:val="none" w:sz="0" w:space="0" w:color="auto"/>
        <w:bottom w:val="none" w:sz="0" w:space="0" w:color="auto"/>
        <w:right w:val="none" w:sz="0" w:space="0" w:color="auto"/>
      </w:divBdr>
    </w:div>
    <w:div w:id="1956907011">
      <w:bodyDiv w:val="1"/>
      <w:marLeft w:val="0"/>
      <w:marRight w:val="0"/>
      <w:marTop w:val="0"/>
      <w:marBottom w:val="0"/>
      <w:divBdr>
        <w:top w:val="none" w:sz="0" w:space="0" w:color="auto"/>
        <w:left w:val="none" w:sz="0" w:space="0" w:color="auto"/>
        <w:bottom w:val="none" w:sz="0" w:space="0" w:color="auto"/>
        <w:right w:val="none" w:sz="0" w:space="0" w:color="auto"/>
      </w:divBdr>
    </w:div>
    <w:div w:id="2020427052">
      <w:bodyDiv w:val="1"/>
      <w:marLeft w:val="0"/>
      <w:marRight w:val="0"/>
      <w:marTop w:val="0"/>
      <w:marBottom w:val="0"/>
      <w:divBdr>
        <w:top w:val="none" w:sz="0" w:space="0" w:color="auto"/>
        <w:left w:val="none" w:sz="0" w:space="0" w:color="auto"/>
        <w:bottom w:val="none" w:sz="0" w:space="0" w:color="auto"/>
        <w:right w:val="none" w:sz="0" w:space="0" w:color="auto"/>
      </w:divBdr>
    </w:div>
    <w:div w:id="2048988751">
      <w:bodyDiv w:val="1"/>
      <w:marLeft w:val="0"/>
      <w:marRight w:val="0"/>
      <w:marTop w:val="0"/>
      <w:marBottom w:val="0"/>
      <w:divBdr>
        <w:top w:val="none" w:sz="0" w:space="0" w:color="auto"/>
        <w:left w:val="none" w:sz="0" w:space="0" w:color="auto"/>
        <w:bottom w:val="none" w:sz="0" w:space="0" w:color="auto"/>
        <w:right w:val="none" w:sz="0" w:space="0" w:color="auto"/>
      </w:divBdr>
      <w:divsChild>
        <w:div w:id="454448240">
          <w:marLeft w:val="0"/>
          <w:marRight w:val="0"/>
          <w:marTop w:val="0"/>
          <w:marBottom w:val="0"/>
          <w:divBdr>
            <w:top w:val="none" w:sz="0" w:space="0" w:color="auto"/>
            <w:left w:val="none" w:sz="0" w:space="0" w:color="auto"/>
            <w:bottom w:val="none" w:sz="0" w:space="0" w:color="auto"/>
            <w:right w:val="none" w:sz="0" w:space="0" w:color="auto"/>
          </w:divBdr>
          <w:divsChild>
            <w:div w:id="154036309">
              <w:marLeft w:val="0"/>
              <w:marRight w:val="0"/>
              <w:marTop w:val="0"/>
              <w:marBottom w:val="0"/>
              <w:divBdr>
                <w:top w:val="none" w:sz="0" w:space="0" w:color="auto"/>
                <w:left w:val="none" w:sz="0" w:space="0" w:color="auto"/>
                <w:bottom w:val="none" w:sz="0" w:space="0" w:color="auto"/>
                <w:right w:val="none" w:sz="0" w:space="0" w:color="auto"/>
              </w:divBdr>
              <w:divsChild>
                <w:div w:id="2018380214">
                  <w:marLeft w:val="0"/>
                  <w:marRight w:val="0"/>
                  <w:marTop w:val="0"/>
                  <w:marBottom w:val="0"/>
                  <w:divBdr>
                    <w:top w:val="none" w:sz="0" w:space="0" w:color="auto"/>
                    <w:left w:val="none" w:sz="0" w:space="0" w:color="auto"/>
                    <w:bottom w:val="none" w:sz="0" w:space="0" w:color="auto"/>
                    <w:right w:val="none" w:sz="0" w:space="0" w:color="auto"/>
                  </w:divBdr>
                  <w:divsChild>
                    <w:div w:id="251816707">
                      <w:marLeft w:val="0"/>
                      <w:marRight w:val="0"/>
                      <w:marTop w:val="0"/>
                      <w:marBottom w:val="0"/>
                      <w:divBdr>
                        <w:top w:val="none" w:sz="0" w:space="0" w:color="auto"/>
                        <w:left w:val="none" w:sz="0" w:space="0" w:color="auto"/>
                        <w:bottom w:val="none" w:sz="0" w:space="0" w:color="auto"/>
                        <w:right w:val="none" w:sz="0" w:space="0" w:color="auto"/>
                      </w:divBdr>
                      <w:divsChild>
                        <w:div w:id="262615054">
                          <w:marLeft w:val="0"/>
                          <w:marRight w:val="0"/>
                          <w:marTop w:val="0"/>
                          <w:marBottom w:val="0"/>
                          <w:divBdr>
                            <w:top w:val="none" w:sz="0" w:space="0" w:color="auto"/>
                            <w:left w:val="none" w:sz="0" w:space="0" w:color="auto"/>
                            <w:bottom w:val="none" w:sz="0" w:space="0" w:color="auto"/>
                            <w:right w:val="none" w:sz="0" w:space="0" w:color="auto"/>
                          </w:divBdr>
                          <w:divsChild>
                            <w:div w:id="162951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721689">
      <w:bodyDiv w:val="1"/>
      <w:marLeft w:val="0"/>
      <w:marRight w:val="0"/>
      <w:marTop w:val="0"/>
      <w:marBottom w:val="0"/>
      <w:divBdr>
        <w:top w:val="none" w:sz="0" w:space="0" w:color="auto"/>
        <w:left w:val="none" w:sz="0" w:space="0" w:color="auto"/>
        <w:bottom w:val="none" w:sz="0" w:space="0" w:color="auto"/>
        <w:right w:val="none" w:sz="0" w:space="0" w:color="auto"/>
      </w:divBdr>
      <w:divsChild>
        <w:div w:id="838732474">
          <w:marLeft w:val="480"/>
          <w:marRight w:val="0"/>
          <w:marTop w:val="0"/>
          <w:marBottom w:val="0"/>
          <w:divBdr>
            <w:top w:val="none" w:sz="0" w:space="0" w:color="auto"/>
            <w:left w:val="none" w:sz="0" w:space="0" w:color="auto"/>
            <w:bottom w:val="none" w:sz="0" w:space="0" w:color="auto"/>
            <w:right w:val="none" w:sz="0" w:space="0" w:color="auto"/>
          </w:divBdr>
          <w:divsChild>
            <w:div w:id="15915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35849">
      <w:bodyDiv w:val="1"/>
      <w:marLeft w:val="0"/>
      <w:marRight w:val="0"/>
      <w:marTop w:val="0"/>
      <w:marBottom w:val="0"/>
      <w:divBdr>
        <w:top w:val="none" w:sz="0" w:space="0" w:color="auto"/>
        <w:left w:val="none" w:sz="0" w:space="0" w:color="auto"/>
        <w:bottom w:val="none" w:sz="0" w:space="0" w:color="auto"/>
        <w:right w:val="none" w:sz="0" w:space="0" w:color="auto"/>
      </w:divBdr>
      <w:divsChild>
        <w:div w:id="1532450602">
          <w:marLeft w:val="480"/>
          <w:marRight w:val="0"/>
          <w:marTop w:val="0"/>
          <w:marBottom w:val="0"/>
          <w:divBdr>
            <w:top w:val="none" w:sz="0" w:space="0" w:color="auto"/>
            <w:left w:val="none" w:sz="0" w:space="0" w:color="auto"/>
            <w:bottom w:val="none" w:sz="0" w:space="0" w:color="auto"/>
            <w:right w:val="none" w:sz="0" w:space="0" w:color="auto"/>
          </w:divBdr>
          <w:divsChild>
            <w:div w:id="14452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890">
      <w:bodyDiv w:val="1"/>
      <w:marLeft w:val="0"/>
      <w:marRight w:val="0"/>
      <w:marTop w:val="0"/>
      <w:marBottom w:val="0"/>
      <w:divBdr>
        <w:top w:val="none" w:sz="0" w:space="0" w:color="auto"/>
        <w:left w:val="none" w:sz="0" w:space="0" w:color="auto"/>
        <w:bottom w:val="none" w:sz="0" w:space="0" w:color="auto"/>
        <w:right w:val="none" w:sz="0" w:space="0" w:color="auto"/>
      </w:divBdr>
    </w:div>
    <w:div w:id="213791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4324/9781351278089" TargetMode="External"/><Relationship Id="rId21" Type="http://schemas.openxmlformats.org/officeDocument/2006/relationships/hyperlink" Target="https://www-taylorfrancis-com.alumniproxy.library.ualberta.ca/chapters/mono/10.4324/9780203797532-7/assessing-measuring-social-value-jo-barraket-robyn-keast-craig-furneaux?context=ubx&amp;refId=2fcaebe3-57e8-465e-9757-0f7d37b2a2aa" TargetMode="External"/><Relationship Id="rId42" Type="http://schemas.openxmlformats.org/officeDocument/2006/relationships/hyperlink" Target="https://g3ict.org/publication/the-2021-state-of-digital-accessibility-report-for-public-sector-organizations" TargetMode="External"/><Relationship Id="rId63" Type="http://schemas.openxmlformats.org/officeDocument/2006/relationships/hyperlink" Target="https://www.iso.org/obp/ui/" TargetMode="External"/><Relationship Id="rId84" Type="http://schemas.openxmlformats.org/officeDocument/2006/relationships/hyperlink" Target="https://accessible.canada.ca/news/accessibility-standards-canada-adopts-globally-recognized-accessibility-standard-ict-products" TargetMode="External"/><Relationship Id="rId138" Type="http://schemas.openxmlformats.org/officeDocument/2006/relationships/hyperlink" Target="https://community.d2l.com/brightspace/kb/articles/18962-june-2023-accessibility-interest-group-recording" TargetMode="External"/><Relationship Id="rId107" Type="http://schemas.openxmlformats.org/officeDocument/2006/relationships/hyperlink" Target="https://bher.ca/publications/research-publications/accessible-procurement-canada" TargetMode="External"/><Relationship Id="rId11" Type="http://schemas.openxmlformats.org/officeDocument/2006/relationships/image" Target="media/image5.png"/><Relationship Id="rId32" Type="http://schemas.openxmlformats.org/officeDocument/2006/relationships/hyperlink" Target="https://doi.org/10.23865/arctic.v8.739" TargetMode="External"/><Relationship Id="rId37" Type="http://schemas.openxmlformats.org/officeDocument/2006/relationships/hyperlink" Target="https://www.un.org/development/desa/disabilities/convention-on-the-rights-of-persons-with-disabilities.html" TargetMode="External"/><Relationship Id="rId53" Type="http://schemas.openxmlformats.org/officeDocument/2006/relationships/hyperlink" Target="https://accessibilitymb.ca/index.fr.html" TargetMode="External"/><Relationship Id="rId58" Type="http://schemas.openxmlformats.org/officeDocument/2006/relationships/hyperlink" Target="https://doi.org/10.1111/capa.12414" TargetMode="External"/><Relationship Id="rId74" Type="http://schemas.openxmlformats.org/officeDocument/2006/relationships/hyperlink" Target="https://www.iso.org/obp/ui/en/" TargetMode="External"/><Relationship Id="rId79" Type="http://schemas.openxmlformats.org/officeDocument/2006/relationships/hyperlink" Target="https://doi.org/10.1016/j.cpa.2012.09.008" TargetMode="External"/><Relationship Id="rId102" Type="http://schemas.openxmlformats.org/officeDocument/2006/relationships/hyperlink" Target="https://doi.org/10.1016/j.jclepro.2019.118901" TargetMode="External"/><Relationship Id="rId123" Type="http://schemas.openxmlformats.org/officeDocument/2006/relationships/hyperlink" Target="https://disabilityin.org/resource/webinar-building-successful-accessible-procurement-programs-a-conversation-with-procure-access-companies" TargetMode="External"/><Relationship Id="rId128" Type="http://schemas.openxmlformats.org/officeDocument/2006/relationships/hyperlink" Target="file:///C:\NUsers\Nsheetal.kochhar\NT&#233;l&#233;chargements\NPubSec-Procurement-Discussion-Guide_XT.pdf" TargetMode="External"/><Relationship Id="rId5" Type="http://schemas.openxmlformats.org/officeDocument/2006/relationships/webSettings" Target="webSettings.xml"/><Relationship Id="rId90" Type="http://schemas.openxmlformats.org/officeDocument/2006/relationships/hyperlink" Target="https://doi.org/10.1016/j.pursup.2017.05.002" TargetMode="External"/><Relationship Id="rId95" Type="http://schemas.openxmlformats.org/officeDocument/2006/relationships/hyperlink" Target="https://doi.org/10.1007/s10668-023-03948-w" TargetMode="External"/><Relationship Id="rId22" Type="http://schemas.openxmlformats.org/officeDocument/2006/relationships/hyperlink" Target="https://doi.org/10.1016/j.jclepro.2017.03.052" TargetMode="External"/><Relationship Id="rId27" Type="http://schemas.openxmlformats.org/officeDocument/2006/relationships/hyperlink" Target="https://www.washington.edu/doit/universal-design-process-principles-and-applications" TargetMode="External"/><Relationship Id="rId43" Type="http://schemas.openxmlformats.org/officeDocument/2006/relationships/hyperlink" Target="https://doi.org/10.4324/9780429346910" TargetMode="External"/><Relationship Id="rId48" Type="http://schemas.openxmlformats.org/officeDocument/2006/relationships/hyperlink" Target="https://www.tbs-sct.canada.ca/rtrap-parfa/analys/analys-fra.pdf" TargetMode="External"/><Relationship Id="rId64" Type="http://schemas.openxmlformats.org/officeDocument/2006/relationships/hyperlink" Target="https://www.iso.org/obp/ui/en/" TargetMode="External"/><Relationship Id="rId69" Type="http://schemas.openxmlformats.org/officeDocument/2006/relationships/hyperlink" Target="https://www.iso.org/obp/ui/" TargetMode="External"/><Relationship Id="rId113" Type="http://schemas.openxmlformats.org/officeDocument/2006/relationships/hyperlink" Target="https://digitalaccessibility.virginia.edu/foundations-accessibility-remediation" TargetMode="External"/><Relationship Id="rId118" Type="http://schemas.openxmlformats.org/officeDocument/2006/relationships/hyperlink" Target="https://legacy.winnipeg.ca/matmgt/pdfs/SocialProcurement-Framework.pdf" TargetMode="External"/><Relationship Id="rId134" Type="http://schemas.openxmlformats.org/officeDocument/2006/relationships/image" Target="media/image8.png"/><Relationship Id="rId139" Type="http://schemas.openxmlformats.org/officeDocument/2006/relationships/hyperlink" Target="https://design.ncsu.edu/research/center-for-universal-design/" TargetMode="External"/><Relationship Id="rId80" Type="http://schemas.openxmlformats.org/officeDocument/2006/relationships/hyperlink" Target="https://doi.org/10.1016/j.pursup.2021.100745" TargetMode="External"/><Relationship Id="rId85" Type="http://schemas.openxmlformats.org/officeDocument/2006/relationships/hyperlink" Target="https://www.un.org/en/content/disabilitystrategy/assets/documentation/UN_Disability_Inclusion_Strategy_french.pdf" TargetMode="External"/><Relationship Id="rId12" Type="http://schemas.openxmlformats.org/officeDocument/2006/relationships/hyperlink" Target="https://www.ontario.ca/lois/loi/05a11" TargetMode="External"/><Relationship Id="rId17" Type="http://schemas.openxmlformats.org/officeDocument/2006/relationships/hyperlink" Target="https://doi.org/10.1111/capa.12416" TargetMode="External"/><Relationship Id="rId33" Type="http://schemas.openxmlformats.org/officeDocument/2006/relationships/hyperlink" Target="https://journalhosting.ucalgary.ca/index.php/sppp/article/view/69277/54206" TargetMode="External"/><Relationship Id="rId38" Type="http://schemas.openxmlformats.org/officeDocument/2006/relationships/hyperlink" Target="https://social.desa.un.org/issues/disability/crpd/article-9-accessibility" TargetMode="External"/><Relationship Id="rId59" Type="http://schemas.openxmlformats.org/officeDocument/2006/relationships/hyperlink" Target="https://www.accessibilityassociation.org/s/overlay-position-and-recommendations" TargetMode="External"/><Relationship Id="rId103" Type="http://schemas.openxmlformats.org/officeDocument/2006/relationships/hyperlink" Target="https://www.canada.ca/fr/services-publics-approvisionnement/services/achats/mieux-acheter/ameliorer-approvisionnement-federal.html" TargetMode="External"/><Relationship Id="rId108" Type="http://schemas.openxmlformats.org/officeDocument/2006/relationships/hyperlink" Target="https://www.access-board.gov/about/law/ta.html" TargetMode="External"/><Relationship Id="rId124" Type="http://schemas.openxmlformats.org/officeDocument/2006/relationships/hyperlink" Target="https://www.parl.ca/documentviewer/fr/42-1/projet-loi/C-81/deuxieme-lecture" TargetMode="External"/><Relationship Id="rId129" Type="http://schemas.openxmlformats.org/officeDocument/2006/relationships/hyperlink" Target="https://www.etsi.org/deliver/etsi_en/301500_301599/301549/03.02.01_60/en_301549v030201p.pdf" TargetMode="External"/><Relationship Id="rId54" Type="http://schemas.openxmlformats.org/officeDocument/2006/relationships/hyperlink" Target="https://www.internationaldisabilityalliance.org/sites/default/files/6.4_public_procurement_and_the_crpd_rights_in_practice_2015.pdf" TargetMode="External"/><Relationship Id="rId70" Type="http://schemas.openxmlformats.org/officeDocument/2006/relationships/hyperlink" Target="https://www.iso.org/fr/standard/71711.html" TargetMode="External"/><Relationship Id="rId75" Type="http://schemas.openxmlformats.org/officeDocument/2006/relationships/hyperlink" Target="https://www.iso.org/obp/ui/en/" TargetMode="External"/><Relationship Id="rId91" Type="http://schemas.openxmlformats.org/officeDocument/2006/relationships/hyperlink" Target="https://doi.org/10.1108/JOPP-16-03-2016-B004" TargetMode="External"/><Relationship Id="rId96" Type="http://schemas.openxmlformats.org/officeDocument/2006/relationships/hyperlink" Target="https://doi.org/10.1016/j.heliyon.2023.e21787" TargetMode="External"/><Relationship Id="rId140" Type="http://schemas.openxmlformats.org/officeDocument/2006/relationships/hyperlink" Target="https://udlguidelines.cast.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opo-boa.gc.ca/documents/rapports-reports/2021-2022/annuel-annual-2021-2022-fra.pdf" TargetMode="External"/><Relationship Id="rId28" Type="http://schemas.openxmlformats.org/officeDocument/2006/relationships/hyperlink" Target="https://www.etsi.org/deliver/etsi_en/301500_301599/301549/03.02.01_60/en_301549v030201p.pdf" TargetMode="External"/><Relationship Id="rId49" Type="http://schemas.openxmlformats.org/officeDocument/2006/relationships/hyperlink" Target="https://www.canada.ca/fr/secretariat-conseil-tresor/organisation/organisation/services-professionnels-soutien-verification/criteres-evaluation-soumissions.html" TargetMode="External"/><Relationship Id="rId114" Type="http://schemas.openxmlformats.org/officeDocument/2006/relationships/hyperlink" Target="https://doi.org/10.1016/j.respol.2019.103844" TargetMode="External"/><Relationship Id="rId119" Type="http://schemas.openxmlformats.org/officeDocument/2006/relationships/hyperlink" Target="https://doi.org/10.1139/cjce-2015-0114" TargetMode="External"/><Relationship Id="rId44" Type="http://schemas.openxmlformats.org/officeDocument/2006/relationships/hyperlink" Target="https://www.ontario.ca/lois/loi/s05011" TargetMode="External"/><Relationship Id="rId60" Type="http://schemas.openxmlformats.org/officeDocument/2006/relationships/hyperlink" Target="https://www.itic.org/policy/accessibility/vpat-training" TargetMode="External"/><Relationship Id="rId65" Type="http://schemas.openxmlformats.org/officeDocument/2006/relationships/hyperlink" Target="https://www.iso.org/obp/ui/en/" TargetMode="External"/><Relationship Id="rId81" Type="http://schemas.openxmlformats.org/officeDocument/2006/relationships/hyperlink" Target="https://www.mckinsey.com/featured-insights/mckinsey-explainers/what-is-diversity-equity-and-inclusion" TargetMode="External"/><Relationship Id="rId86" Type="http://schemas.openxmlformats.org/officeDocument/2006/relationships/hyperlink" Target="https://social.desa.un.org/issues/disability/crpd/article-2-definitions" TargetMode="External"/><Relationship Id="rId130" Type="http://schemas.openxmlformats.org/officeDocument/2006/relationships/hyperlink" Target="https://www.iso.org/fr/standard/63026.html" TargetMode="External"/><Relationship Id="rId135" Type="http://schemas.openxmlformats.org/officeDocument/2006/relationships/hyperlink" Target="https://openanthroresearch.org/index.php/oarr/preprint/view/395/667" TargetMode="External"/><Relationship Id="rId13" Type="http://schemas.openxmlformats.org/officeDocument/2006/relationships/hyperlink" Target="https://www150.statcan.gc.ca/n1/daily-quotidien/240613/dq240613b-fra.htm" TargetMode="External"/><Relationship Id="rId18" Type="http://schemas.openxmlformats.org/officeDocument/2006/relationships/hyperlink" Target="https://doi.org/10.1007/s41109-018-0070-7" TargetMode="External"/><Relationship Id="rId39" Type="http://schemas.openxmlformats.org/officeDocument/2006/relationships/hyperlink" Target="https://doi.org/10.1080/01446193.2020.1795217" TargetMode="External"/><Relationship Id="rId109" Type="http://schemas.openxmlformats.org/officeDocument/2006/relationships/hyperlink" Target="https://www.legislation.gov.uk/uksi/2018/952" TargetMode="External"/><Relationship Id="rId34" Type="http://schemas.openxmlformats.org/officeDocument/2006/relationships/hyperlink" Target="https://www.csagroup.org/fr/store/product/CSA%20Z1011:20/" TargetMode="External"/><Relationship Id="rId50" Type="http://schemas.openxmlformats.org/officeDocument/2006/relationships/hyperlink" Target="https://achatscanada.canada.ca/fr/notre-processus-d-achat/processus-d-achat/sollicitation-d-offres-et-attribution-du-contrat/types-d-appels-d-offres" TargetMode="External"/><Relationship Id="rId55" Type="http://schemas.openxmlformats.org/officeDocument/2006/relationships/hyperlink" Target="https://www150.statcan.gc.ca/n1/pub/89-654-x/89-654-x2024001-fra.htm" TargetMode="External"/><Relationship Id="rId76" Type="http://schemas.openxmlformats.org/officeDocument/2006/relationships/hyperlink" Target="https://doi.org/10.1007/s10479-020-03912-1" TargetMode="External"/><Relationship Id="rId97" Type="http://schemas.openxmlformats.org/officeDocument/2006/relationships/hyperlink" Target="https://www.makethingsaccessible.com/guides/accessibility-statements-what-are-they/" TargetMode="External"/><Relationship Id="rId104" Type="http://schemas.openxmlformats.org/officeDocument/2006/relationships/hyperlink" Target="https://buyandsell.gc.ca/policy-and-guidelines/policy-notifications/PN-142" TargetMode="External"/><Relationship Id="rId120" Type="http://schemas.openxmlformats.org/officeDocument/2006/relationships/hyperlink" Target="https://accessiblecampus.ca/wp-content/uploads/2020/12/Accessible-Procurement-Guide-Final-Report.pdf" TargetMode="External"/><Relationship Id="rId125" Type="http://schemas.openxmlformats.org/officeDocument/2006/relationships/hyperlink" Target="https://www.ontario.ca/lois/reglement/110191" TargetMode="External"/><Relationship Id="rId141"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iso.org/obp/ui/en/" TargetMode="External"/><Relationship Id="rId92" Type="http://schemas.openxmlformats.org/officeDocument/2006/relationships/hyperlink" Target="https://accessiblelibraries.ca/resources/accessibility-overlays-and-accessibility/" TargetMode="External"/><Relationship Id="rId2" Type="http://schemas.openxmlformats.org/officeDocument/2006/relationships/numbering" Target="numbering.xml"/><Relationship Id="rId29" Type="http://schemas.openxmlformats.org/officeDocument/2006/relationships/hyperlink" Target="https://universaldesign.ie/about-universal-design" TargetMode="External"/><Relationship Id="rId24" Type="http://schemas.openxmlformats.org/officeDocument/2006/relationships/hyperlink" Target="https://opo-boa.gc.ca/pmr-psp-fra.html" TargetMode="External"/><Relationship Id="rId40" Type="http://schemas.openxmlformats.org/officeDocument/2006/relationships/hyperlink" Target="https://www.canada.ca/fr/emploi-developpement-social/ministere/portefeuille/travail/programmes/equite-emploi/rapports/2022-annuel.html" TargetMode="External"/><Relationship Id="rId45" Type="http://schemas.openxmlformats.org/officeDocument/2006/relationships/hyperlink" Target="https://www.ontario.ca/fr/page/regles-daccessibilite-en-matiere-dapprovisionnement" TargetMode="External"/><Relationship Id="rId66" Type="http://schemas.openxmlformats.org/officeDocument/2006/relationships/hyperlink" Target="https://www.iso.org/obp/ui/" TargetMode="External"/><Relationship Id="rId87" Type="http://schemas.openxmlformats.org/officeDocument/2006/relationships/hyperlink" Target="https://unstats.un.org/sdgs/metadata/?Text=&amp;Goal=8&amp;Target=" TargetMode="External"/><Relationship Id="rId110" Type="http://schemas.openxmlformats.org/officeDocument/2006/relationships/hyperlink" Target="https://www.un.org/en/content/disabilitystrategy/assets/documentation/UN_Disability_Inclusion_Strategy_Entity_Technical_Notes.pdf" TargetMode="External"/><Relationship Id="rId115" Type="http://schemas.openxmlformats.org/officeDocument/2006/relationships/hyperlink" Target="https://www.toronto.ca/business-economy/doing-business-with-the-city/social-procurement-program/" TargetMode="External"/><Relationship Id="rId131" Type="http://schemas.openxmlformats.org/officeDocument/2006/relationships/hyperlink" Target="https://www.access-board.gov/about/law/ra.html" TargetMode="External"/><Relationship Id="rId136" Type="http://schemas.openxmlformats.org/officeDocument/2006/relationships/hyperlink" Target="https://www.rev.com/transcript-editor/shared/kk2CG6Ia0pyhyDU5JyAuuj3JE_nlga4ToNioDwbUGQp0FFJRkEFIKJzJHbZ8s7siepRKRFG45lXzzsX4w4Lok2dXfdA?loadFrom=DocumentHeaderDeepLink&amp;amp;ts=0" TargetMode="External"/><Relationship Id="rId61" Type="http://schemas.openxmlformats.org/officeDocument/2006/relationships/hyperlink" Target="https://www.iso.org/fr/standards.html" TargetMode="External"/><Relationship Id="rId82" Type="http://schemas.openxmlformats.org/officeDocument/2006/relationships/hyperlink" Target="https://doi.org/10.1111/capa.12449" TargetMode="External"/><Relationship Id="rId19" Type="http://schemas.openxmlformats.org/officeDocument/2006/relationships/hyperlink" Target="https://doi.org/10.1017/CBO9780511576041" TargetMode="External"/><Relationship Id="rId14" Type="http://schemas.openxmlformats.org/officeDocument/2006/relationships/image" Target="media/image6.png"/><Relationship Id="rId30" Type="http://schemas.openxmlformats.org/officeDocument/2006/relationships/hyperlink" Target="https://employment-social-affairs.ec.europa.eu/policies-and-activities/social-protection-social-inclusion/persons-disabilities/union-equality-strategy-rights-persons-disabilities-2021-2030/european-accessibility-act_fr" TargetMode="External"/><Relationship Id="rId35" Type="http://schemas.openxmlformats.org/officeDocument/2006/relationships/hyperlink" Target="https://doi.org/10.3390/su12145550" TargetMode="External"/><Relationship Id="rId56" Type="http://schemas.openxmlformats.org/officeDocument/2006/relationships/hyperlink" Target="https://doi.org/10.1111/j.1937-5956.2005.tb00008.x" TargetMode="External"/><Relationship Id="rId77" Type="http://schemas.openxmlformats.org/officeDocument/2006/relationships/hyperlink" Target="https://ris.utwente.nl/ws/portalfiles/portal/5541475/Systematic-review-of-15-years-of-scientific-literature-on-public-procurement.pdf" TargetMode="External"/><Relationship Id="rId100" Type="http://schemas.openxmlformats.org/officeDocument/2006/relationships/hyperlink" Target="https://www.canada.ca/fr/secretariat-conseil-tresor/services/innovation/sondage-fonctionnaires-federaux/2022-23/2022-resultats-presentes-selon-les-groupes-employes/personnes-situation-handicap.html" TargetMode="External"/><Relationship Id="rId105" Type="http://schemas.openxmlformats.org/officeDocument/2006/relationships/hyperlink" Target="https://www.intertekinform.com/en-au/standards/as-en-301-549-2016-100620_saig_as_as_211428/" TargetMode="External"/><Relationship Id="rId126" Type="http://schemas.openxmlformats.org/officeDocument/2006/relationships/hyperlink" Target="https://achatscanada.canada.ca/fr" TargetMode="External"/><Relationship Id="rId8" Type="http://schemas.openxmlformats.org/officeDocument/2006/relationships/image" Target="media/image1.png"/><Relationship Id="rId51" Type="http://schemas.openxmlformats.org/officeDocument/2006/relationships/hyperlink" Target="https://laws-lois.justice.gc.ca/eng/acts/A-0.6/" TargetMode="External"/><Relationship Id="rId72" Type="http://schemas.openxmlformats.org/officeDocument/2006/relationships/hyperlink" Target="https://www.iso.org/fr/standard/58625.html" TargetMode="External"/><Relationship Id="rId93" Type="http://schemas.openxmlformats.org/officeDocument/2006/relationships/hyperlink" Target="https://www.reeveconsulting.com/wp-content/uploads/2021/04/Annual-State-of-the-Nation-Report-on-Sustainable-Public-Procurement-in-Canada_CCSP-Reeve-Consulting.pdf" TargetMode="External"/><Relationship Id="rId98" Type="http://schemas.openxmlformats.org/officeDocument/2006/relationships/hyperlink" Target="https://doi.org/10.1080/13600869.2015.1055661" TargetMode="External"/><Relationship Id="rId121" Type="http://schemas.openxmlformats.org/officeDocument/2006/relationships/hyperlink" Target="https://www.smartcitieslibrary.com/buy-it-your-guide-for-purchasing-accessible-technology/"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doi.org/10.1017/CBO9780511576041.010" TargetMode="External"/><Relationship Id="rId46" Type="http://schemas.openxmlformats.org/officeDocument/2006/relationships/hyperlink" Target="https://www2.gov.bc.ca/assets/gov/bc-procurement-resources/bc_procurement_strategy_2018.pdf" TargetMode="External"/><Relationship Id="rId67" Type="http://schemas.openxmlformats.org/officeDocument/2006/relationships/hyperlink" Target="https://www.iso.org/fr/standard/63026.html" TargetMode="External"/><Relationship Id="rId116" Type="http://schemas.openxmlformats.org/officeDocument/2006/relationships/hyperlink" Target="https://www.w3.org/WAI/standards-guidelines/" TargetMode="External"/><Relationship Id="rId137" Type="http://schemas.openxmlformats.org/officeDocument/2006/relationships/hyperlink" Target="https://www.queensu.ca/eventscalendar/calendar/events/virtual-accessibility-caf&#233;-accessible-and-inclusive-procurement" TargetMode="External"/><Relationship Id="rId20" Type="http://schemas.openxmlformats.org/officeDocument/2006/relationships/hyperlink" Target="https://www.finance.gov.au/sites/default/files/2023-06/Commonwealth%20Procurement%20Rules%20-%2013%20June%202023.pdf" TargetMode="External"/><Relationship Id="rId41" Type="http://schemas.openxmlformats.org/officeDocument/2006/relationships/hyperlink" Target="https://g3ict.org/index.php/actions/assetCount/download?id=CfoYSJFq3aX2sIOO8oHdaw9S%4077ECcjoPsGSOkJzlgQ%3D" TargetMode="External"/><Relationship Id="rId62" Type="http://schemas.openxmlformats.org/officeDocument/2006/relationships/hyperlink" Target="https://www.iso.org/obp/ui/" TargetMode="External"/><Relationship Id="rId83" Type="http://schemas.openxmlformats.org/officeDocument/2006/relationships/hyperlink" Target="https://doi.org/10.1007/s43615-022-00172-y" TargetMode="External"/><Relationship Id="rId88" Type="http://schemas.openxmlformats.org/officeDocument/2006/relationships/hyperlink" Target="https://doi.org/10.1016/j.technovation.2018.02.015" TargetMode="External"/><Relationship Id="rId111" Type="http://schemas.openxmlformats.org/officeDocument/2006/relationships/hyperlink" Target="https://www.un.org/sites/un2.un.org/files/2021/01/2020_un_disability_inclusion_strategy_guidelines_indicator_8.pdf" TargetMode="External"/><Relationship Id="rId132" Type="http://schemas.openxmlformats.org/officeDocument/2006/relationships/hyperlink" Target="https://www.unimelb.edu.au/accessibility/project-management/procurement/flowchartAccessible%20Procurement%20Flowchart" TargetMode="External"/><Relationship Id="rId15" Type="http://schemas.openxmlformats.org/officeDocument/2006/relationships/hyperlink" Target="https://doi.org/10.1080/00207543.2020.1770893" TargetMode="External"/><Relationship Id="rId36" Type="http://schemas.openxmlformats.org/officeDocument/2006/relationships/hyperlink" Target="https://unstats.un.org/sdgs/dataportal/database" TargetMode="External"/><Relationship Id="rId57" Type="http://schemas.openxmlformats.org/officeDocument/2006/relationships/hyperlink" Target="https://doi.org/10.29173/jaed9" TargetMode="External"/><Relationship Id="rId106" Type="http://schemas.openxmlformats.org/officeDocument/2006/relationships/hyperlink" Target="https://www23.statcan.gc.ca/imdb/p2SV_f.pl?Function=getSurvey&amp;SDDS=3251" TargetMode="External"/><Relationship Id="rId127" Type="http://schemas.openxmlformats.org/officeDocument/2006/relationships/hyperlink" Target="https://smartcities4all.org/SC4A_Toolkit_-_Standards_XT.php" TargetMode="External"/><Relationship Id="rId10" Type="http://schemas.openxmlformats.org/officeDocument/2006/relationships/footer" Target="footer1.xml"/><Relationship Id="rId31" Type="http://schemas.openxmlformats.org/officeDocument/2006/relationships/hyperlink" Target="https://www.canada.ca/fr/services-publics-approvisionnement/organisation/transparence/rapport-annuel-prevention-travail-force-chaines-approvisionnement/2023-2024.html" TargetMode="External"/><Relationship Id="rId52" Type="http://schemas.openxmlformats.org/officeDocument/2006/relationships/hyperlink" Target="https://buyandsell.gc.ca/policy-and-guidelines/policy-notifications/PN-142" TargetMode="External"/><Relationship Id="rId73" Type="http://schemas.openxmlformats.org/officeDocument/2006/relationships/hyperlink" Target="https://www.iso.org/obp/ui/en/" TargetMode="External"/><Relationship Id="rId78" Type="http://schemas.openxmlformats.org/officeDocument/2006/relationships/hyperlink" Target="https://doi.org/10.1080/01446193.2019.1687923" TargetMode="External"/><Relationship Id="rId94" Type="http://schemas.openxmlformats.org/officeDocument/2006/relationships/hyperlink" Target="https://www.reeveconsulting.com/about-ccsp/" TargetMode="External"/><Relationship Id="rId99" Type="http://schemas.openxmlformats.org/officeDocument/2006/relationships/hyperlink" Target="https://doi.org/10.1007/s11301-023-00337-5" TargetMode="External"/><Relationship Id="rId101" Type="http://schemas.openxmlformats.org/officeDocument/2006/relationships/hyperlink" Target="https://doi.org/10.1007/s11301-023-00350-8" TargetMode="External"/><Relationship Id="rId122" Type="http://schemas.openxmlformats.org/officeDocument/2006/relationships/hyperlink" Target="https://disabilityin.org/procurementtoolkit/"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doi.org/10.1111/capa.12553" TargetMode="External"/><Relationship Id="rId47" Type="http://schemas.openxmlformats.org/officeDocument/2006/relationships/hyperlink" Target="https://www.bclaws.gov.bc.ca/civix/document/id/complete/statreg/21019" TargetMode="External"/><Relationship Id="rId68" Type="http://schemas.openxmlformats.org/officeDocument/2006/relationships/hyperlink" Target="https://www.iso.org/obp/ui/en/" TargetMode="External"/><Relationship Id="rId89" Type="http://schemas.openxmlformats.org/officeDocument/2006/relationships/hyperlink" Target="https://www.oed.com/dictionary/evidence-based_adj" TargetMode="External"/><Relationship Id="rId112" Type="http://schemas.openxmlformats.org/officeDocument/2006/relationships/hyperlink" Target="https://hdl.handle.net/20.500.12870/815" TargetMode="External"/><Relationship Id="rId133" Type="http://schemas.openxmlformats.org/officeDocument/2006/relationships/image" Target="media/image7.png"/><Relationship Id="rId16" Type="http://schemas.openxmlformats.org/officeDocument/2006/relationships/hyperlink" Target="https://www.forbes.com/sites/gusalexiou/2021/06/26/largest-us-blind-advocacy-group-bans-web-accessibility-overlay-giant-accessi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45B72-914C-4596-9F02-CED07AB82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309</Pages>
  <Words>44064</Words>
  <Characters>277607</Characters>
  <Application>Microsoft Office Word</Application>
  <DocSecurity>8</DocSecurity>
  <Lines>5443</Lines>
  <Paragraphs>1417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Knot</dc:creator>
  <cp:keywords/>
  <dc:description/>
  <cp:lastModifiedBy>Michaela Knot</cp:lastModifiedBy>
  <cp:revision>82</cp:revision>
  <dcterms:created xsi:type="dcterms:W3CDTF">2026-03-19T18:18:00Z</dcterms:created>
  <dcterms:modified xsi:type="dcterms:W3CDTF">2026-03-19T22:30:00Z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id="71bfVHQG"/&gt;&lt;style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a8d4131874c6ed0a50f2e32193795a8c31c7633b414ba1f85cd4f2dab95ed176</vt:lpwstr>
  </property>
</Properties>
</file>